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34BB0" w14:textId="29617787" w:rsidR="00F04078" w:rsidRDefault="00FA750F" w:rsidP="001B1751">
      <w:pPr>
        <w:tabs>
          <w:tab w:val="left" w:pos="360"/>
        </w:tabs>
        <w:ind w:left="360"/>
        <w:contextualSpacing/>
        <w:jc w:val="center"/>
        <w:outlineLvl w:val="1"/>
        <w:rPr>
          <w:b/>
          <w:bCs/>
          <w:smallCaps/>
          <w:sz w:val="32"/>
          <w:szCs w:val="32"/>
        </w:rPr>
      </w:pPr>
      <w:bookmarkStart w:id="0" w:name="_Toc299534186"/>
      <w:bookmarkStart w:id="1" w:name="_Toc474334039"/>
      <w:bookmarkStart w:id="2" w:name="_Toc9344245"/>
      <w:bookmarkStart w:id="3" w:name="_Toc14638009"/>
      <w:bookmarkStart w:id="4" w:name="_GoBack"/>
      <w:bookmarkEnd w:id="4"/>
      <w:r>
        <w:rPr>
          <w:noProof/>
        </w:rPr>
        <w:drawing>
          <wp:anchor distT="0" distB="0" distL="114300" distR="114300" simplePos="0" relativeHeight="251661312" behindDoc="0" locked="0" layoutInCell="1" allowOverlap="1" wp14:anchorId="5C329C25" wp14:editId="3DEA25E3">
            <wp:simplePos x="0" y="0"/>
            <wp:positionH relativeFrom="column">
              <wp:posOffset>2421255</wp:posOffset>
            </wp:positionH>
            <wp:positionV relativeFrom="paragraph">
              <wp:posOffset>-584200</wp:posOffset>
            </wp:positionV>
            <wp:extent cx="1299210" cy="12992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9210" cy="1299210"/>
                    </a:xfrm>
                    <a:prstGeom prst="rect">
                      <a:avLst/>
                    </a:prstGeom>
                  </pic:spPr>
                </pic:pic>
              </a:graphicData>
            </a:graphic>
            <wp14:sizeRelH relativeFrom="page">
              <wp14:pctWidth>0</wp14:pctWidth>
            </wp14:sizeRelH>
            <wp14:sizeRelV relativeFrom="page">
              <wp14:pctHeight>0</wp14:pctHeight>
            </wp14:sizeRelV>
          </wp:anchor>
        </w:drawing>
      </w:r>
      <w:r w:rsidR="00F04078" w:rsidRPr="001D0BB3">
        <w:rPr>
          <w:noProof/>
        </w:rPr>
        <mc:AlternateContent>
          <mc:Choice Requires="wps">
            <w:drawing>
              <wp:anchor distT="0" distB="0" distL="114300" distR="114300" simplePos="0" relativeHeight="251663360" behindDoc="0" locked="0" layoutInCell="1" allowOverlap="1" wp14:anchorId="06DD7366" wp14:editId="1B334E29">
                <wp:simplePos x="0" y="0"/>
                <wp:positionH relativeFrom="column">
                  <wp:posOffset>3949133</wp:posOffset>
                </wp:positionH>
                <wp:positionV relativeFrom="paragraph">
                  <wp:posOffset>-369570</wp:posOffset>
                </wp:positionV>
                <wp:extent cx="2743200" cy="76962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769620"/>
                        </a:xfrm>
                        <a:prstGeom prst="rect">
                          <a:avLst/>
                        </a:prstGeom>
                        <a:noFill/>
                        <a:ln>
                          <a:noFill/>
                        </a:ln>
                      </wps:spPr>
                      <wps:txbx>
                        <w:txbxContent>
                          <w:p w14:paraId="647DFE37" w14:textId="77777777" w:rsidR="005167E8" w:rsidRPr="00C4764A" w:rsidRDefault="005167E8" w:rsidP="00F04078">
                            <w:pPr>
                              <w:bidi/>
                              <w:spacing w:line="360" w:lineRule="auto"/>
                              <w:jc w:val="center"/>
                              <w:rPr>
                                <w:rFonts w:ascii="Bell MT" w:hAnsi="Bell MT"/>
                                <w:b/>
                                <w:bCs/>
                                <w:szCs w:val="32"/>
                                <w:rtl/>
                                <w:lang w:bidi="ar-EG"/>
                              </w:rPr>
                            </w:pPr>
                            <w:r w:rsidRPr="00C4764A">
                              <w:rPr>
                                <w:rFonts w:ascii="Bell MT" w:hAnsi="Bell MT"/>
                                <w:b/>
                                <w:bCs/>
                                <w:szCs w:val="32"/>
                                <w:rtl/>
                                <w:lang w:bidi="ar-EG"/>
                              </w:rPr>
                              <w:t>جمهورية الصومال</w:t>
                            </w:r>
                            <w:r w:rsidRPr="00C4764A">
                              <w:rPr>
                                <w:rFonts w:ascii="Bell MT" w:hAnsi="Bell MT"/>
                                <w:b/>
                                <w:bCs/>
                                <w:szCs w:val="32"/>
                                <w:lang w:bidi="ar-EG"/>
                              </w:rPr>
                              <w:t xml:space="preserve"> </w:t>
                            </w:r>
                            <w:r w:rsidRPr="00C4764A">
                              <w:rPr>
                                <w:rFonts w:ascii="Bell MT" w:hAnsi="Bell MT"/>
                                <w:b/>
                                <w:bCs/>
                                <w:szCs w:val="32"/>
                                <w:rtl/>
                                <w:lang w:bidi="ar-EG"/>
                              </w:rPr>
                              <w:t>الفدرالية</w:t>
                            </w:r>
                          </w:p>
                          <w:p w14:paraId="508E708D" w14:textId="77777777" w:rsidR="005167E8" w:rsidRPr="001D0BB3" w:rsidRDefault="005167E8" w:rsidP="00F04078">
                            <w:pPr>
                              <w:spacing w:line="360" w:lineRule="auto"/>
                              <w:jc w:val="center"/>
                              <w:rPr>
                                <w:rFonts w:ascii="Bell MT" w:hAnsi="Bell MT"/>
                                <w:b/>
                                <w:bCs/>
                                <w:szCs w:val="32"/>
                              </w:rPr>
                            </w:pPr>
                            <w:r w:rsidRPr="00C4764A">
                              <w:rPr>
                                <w:rFonts w:ascii="Bell MT" w:hAnsi="Bell MT"/>
                                <w:b/>
                                <w:bCs/>
                                <w:szCs w:val="32"/>
                                <w:rtl/>
                              </w:rPr>
                              <w:t>ديوان المراقبة العامة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DD7366" id="Rectangle 7" o:spid="_x0000_s1026" style="position:absolute;left:0;text-align:left;margin-left:310.95pt;margin-top:-29.1pt;width:3in;height:6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" filled="f" stroked="f">
                <v:textbox>
                  <w:txbxContent>
                    <w:p w14:paraId="647DFE37" w14:textId="77777777" w:rsidR="005167E8" w:rsidRPr="00C4764A" w:rsidRDefault="005167E8" w:rsidP="00F04078">
                      <w:pPr>
                        <w:bidi/>
                        <w:spacing w:line="360" w:lineRule="auto"/>
                        <w:jc w:val="center"/>
                        <w:rPr>
                          <w:rFonts w:ascii="Bell MT" w:hAnsi="Bell MT"/>
                          <w:b/>
                          <w:bCs/>
                          <w:szCs w:val="32"/>
                          <w:rtl/>
                          <w:lang w:bidi="ar-EG"/>
                        </w:rPr>
                      </w:pPr>
                      <w:r w:rsidRPr="00C4764A">
                        <w:rPr>
                          <w:rFonts w:ascii="Bell MT" w:hAnsi="Bell MT"/>
                          <w:b/>
                          <w:bCs/>
                          <w:szCs w:val="32"/>
                          <w:rtl/>
                          <w:lang w:bidi="ar-EG"/>
                        </w:rPr>
                        <w:t>جمهورية الصومال</w:t>
                      </w:r>
                      <w:r w:rsidRPr="00C4764A">
                        <w:rPr>
                          <w:rFonts w:ascii="Bell MT" w:hAnsi="Bell MT"/>
                          <w:b/>
                          <w:bCs/>
                          <w:szCs w:val="32"/>
                          <w:lang w:bidi="ar-EG"/>
                        </w:rPr>
                        <w:t xml:space="preserve"> </w:t>
                      </w:r>
                      <w:r w:rsidRPr="00C4764A">
                        <w:rPr>
                          <w:rFonts w:ascii="Bell MT" w:hAnsi="Bell MT"/>
                          <w:b/>
                          <w:bCs/>
                          <w:szCs w:val="32"/>
                          <w:rtl/>
                          <w:lang w:bidi="ar-EG"/>
                        </w:rPr>
                        <w:t>الفدرالية</w:t>
                      </w:r>
                    </w:p>
                    <w:p w14:paraId="508E708D" w14:textId="77777777" w:rsidR="005167E8" w:rsidRPr="001D0BB3" w:rsidRDefault="005167E8" w:rsidP="00F04078">
                      <w:pPr>
                        <w:spacing w:line="360" w:lineRule="auto"/>
                        <w:jc w:val="center"/>
                        <w:rPr>
                          <w:rFonts w:ascii="Bell MT" w:hAnsi="Bell MT"/>
                          <w:b/>
                          <w:bCs/>
                          <w:szCs w:val="32"/>
                        </w:rPr>
                      </w:pPr>
                      <w:r w:rsidRPr="00C4764A">
                        <w:rPr>
                          <w:rFonts w:ascii="Bell MT" w:hAnsi="Bell MT"/>
                          <w:b/>
                          <w:bCs/>
                          <w:szCs w:val="32"/>
                          <w:rtl/>
                        </w:rPr>
                        <w:t>ديوان المراقبة العامة</w:t>
                      </w:r>
                    </w:p>
                  </w:txbxContent>
                </v:textbox>
              </v:rect>
            </w:pict>
          </mc:Fallback>
        </mc:AlternateContent>
      </w:r>
      <w:r w:rsidR="00F04078" w:rsidRPr="001D0BB3">
        <w:rPr>
          <w:noProof/>
        </w:rPr>
        <mc:AlternateContent>
          <mc:Choice Requires="wps">
            <w:drawing>
              <wp:anchor distT="0" distB="0" distL="114300" distR="114300" simplePos="0" relativeHeight="251659264" behindDoc="0" locked="0" layoutInCell="1" allowOverlap="1" wp14:anchorId="6AFF057C" wp14:editId="3D4F894C">
                <wp:simplePos x="0" y="0"/>
                <wp:positionH relativeFrom="column">
                  <wp:posOffset>-680936</wp:posOffset>
                </wp:positionH>
                <wp:positionV relativeFrom="paragraph">
                  <wp:posOffset>-437745</wp:posOffset>
                </wp:positionV>
                <wp:extent cx="2743200" cy="902168"/>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902168"/>
                        </a:xfrm>
                        <a:prstGeom prst="rect">
                          <a:avLst/>
                        </a:prstGeom>
                        <a:noFill/>
                        <a:ln>
                          <a:noFill/>
                        </a:ln>
                      </wps:spPr>
                      <wps:txbx>
                        <w:txbxContent>
                          <w:p w14:paraId="476816BC" w14:textId="77777777" w:rsidR="005167E8" w:rsidRPr="00C4764A" w:rsidRDefault="005167E8" w:rsidP="00F04078">
                            <w:pPr>
                              <w:spacing w:line="360" w:lineRule="auto"/>
                              <w:jc w:val="center"/>
                              <w:rPr>
                                <w:rFonts w:ascii="Bell MT" w:hAnsi="Bell MT"/>
                                <w:b/>
                                <w:bCs/>
                                <w:sz w:val="28"/>
                              </w:rPr>
                            </w:pPr>
                            <w:r w:rsidRPr="00C4764A">
                              <w:rPr>
                                <w:rFonts w:ascii="Bell MT" w:hAnsi="Bell MT"/>
                                <w:b/>
                                <w:bCs/>
                                <w:sz w:val="28"/>
                              </w:rPr>
                              <w:t>Jamhuuriyadda Federaalka</w:t>
                            </w:r>
                          </w:p>
                          <w:p w14:paraId="7F3CFEBD" w14:textId="77777777" w:rsidR="005167E8" w:rsidRPr="00C4764A" w:rsidRDefault="005167E8" w:rsidP="00F04078">
                            <w:pPr>
                              <w:spacing w:line="360" w:lineRule="auto"/>
                              <w:jc w:val="center"/>
                              <w:rPr>
                                <w:rFonts w:ascii="Bell MT" w:hAnsi="Bell MT"/>
                                <w:b/>
                                <w:bCs/>
                                <w:sz w:val="28"/>
                              </w:rPr>
                            </w:pPr>
                            <w:r w:rsidRPr="00C4764A">
                              <w:rPr>
                                <w:rFonts w:ascii="Bell MT" w:hAnsi="Bell MT"/>
                                <w:b/>
                                <w:bCs/>
                                <w:sz w:val="28"/>
                              </w:rPr>
                              <w:t>Soomaaliya</w:t>
                            </w:r>
                          </w:p>
                          <w:p w14:paraId="62058DB2" w14:textId="77777777" w:rsidR="005167E8" w:rsidRPr="001D0BB3" w:rsidRDefault="005167E8" w:rsidP="00F04078">
                            <w:pPr>
                              <w:spacing w:line="360" w:lineRule="auto"/>
                              <w:jc w:val="center"/>
                              <w:rPr>
                                <w:rFonts w:ascii="Bell MT" w:hAnsi="Bell MT"/>
                                <w:b/>
                                <w:bCs/>
                                <w:sz w:val="28"/>
                              </w:rPr>
                            </w:pPr>
                            <w:r w:rsidRPr="00C4764A">
                              <w:rPr>
                                <w:rFonts w:ascii="Bell MT" w:hAnsi="Bell MT"/>
                                <w:b/>
                                <w:bCs/>
                                <w:sz w:val="28"/>
                              </w:rPr>
                              <w:t>Xafiiska Hantidhawrka Guud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FF057C" id="Rectangle 6" o:spid="_x0000_s1027" style="position:absolute;left:0;text-align:left;margin-left:-53.6pt;margin-top:-34.45pt;width:3in;height:7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" filled="f" stroked="f">
                <v:textbox>
                  <w:txbxContent>
                    <w:p w14:paraId="476816BC" w14:textId="77777777" w:rsidR="005167E8" w:rsidRPr="00C4764A" w:rsidRDefault="005167E8" w:rsidP="00F04078">
                      <w:pPr>
                        <w:spacing w:line="360" w:lineRule="auto"/>
                        <w:jc w:val="center"/>
                        <w:rPr>
                          <w:rFonts w:ascii="Bell MT" w:hAnsi="Bell MT"/>
                          <w:b/>
                          <w:bCs/>
                          <w:sz w:val="28"/>
                        </w:rPr>
                      </w:pPr>
                      <w:r w:rsidRPr="00C4764A">
                        <w:rPr>
                          <w:rFonts w:ascii="Bell MT" w:hAnsi="Bell MT"/>
                          <w:b/>
                          <w:bCs/>
                          <w:sz w:val="28"/>
                        </w:rPr>
                        <w:t>Jamhuuriyadda Federaalka</w:t>
                      </w:r>
                    </w:p>
                    <w:p w14:paraId="7F3CFEBD" w14:textId="77777777" w:rsidR="005167E8" w:rsidRPr="00C4764A" w:rsidRDefault="005167E8" w:rsidP="00F04078">
                      <w:pPr>
                        <w:spacing w:line="360" w:lineRule="auto"/>
                        <w:jc w:val="center"/>
                        <w:rPr>
                          <w:rFonts w:ascii="Bell MT" w:hAnsi="Bell MT"/>
                          <w:b/>
                          <w:bCs/>
                          <w:sz w:val="28"/>
                        </w:rPr>
                      </w:pPr>
                      <w:r w:rsidRPr="00C4764A">
                        <w:rPr>
                          <w:rFonts w:ascii="Bell MT" w:hAnsi="Bell MT"/>
                          <w:b/>
                          <w:bCs/>
                          <w:sz w:val="28"/>
                        </w:rPr>
                        <w:t>Soomaaliya</w:t>
                      </w:r>
                    </w:p>
                    <w:p w14:paraId="62058DB2" w14:textId="77777777" w:rsidR="005167E8" w:rsidRPr="001D0BB3" w:rsidRDefault="005167E8" w:rsidP="00F04078">
                      <w:pPr>
                        <w:spacing w:line="360" w:lineRule="auto"/>
                        <w:jc w:val="center"/>
                        <w:rPr>
                          <w:rFonts w:ascii="Bell MT" w:hAnsi="Bell MT"/>
                          <w:b/>
                          <w:bCs/>
                          <w:sz w:val="28"/>
                        </w:rPr>
                      </w:pPr>
                      <w:r w:rsidRPr="00C4764A">
                        <w:rPr>
                          <w:rFonts w:ascii="Bell MT" w:hAnsi="Bell MT"/>
                          <w:b/>
                          <w:bCs/>
                          <w:sz w:val="28"/>
                        </w:rPr>
                        <w:t>Xafiiska Hantidhawrka Guud</w:t>
                      </w:r>
                    </w:p>
                  </w:txbxContent>
                </v:textbox>
              </v:rect>
            </w:pict>
          </mc:Fallback>
        </mc:AlternateContent>
      </w:r>
    </w:p>
    <w:p w14:paraId="56C04978" w14:textId="77777777" w:rsidR="00F04078" w:rsidRDefault="00F04078" w:rsidP="001B1751">
      <w:pPr>
        <w:tabs>
          <w:tab w:val="left" w:pos="360"/>
        </w:tabs>
        <w:ind w:left="360"/>
        <w:contextualSpacing/>
        <w:jc w:val="center"/>
        <w:outlineLvl w:val="1"/>
        <w:rPr>
          <w:b/>
          <w:bCs/>
          <w:smallCaps/>
          <w:sz w:val="32"/>
          <w:szCs w:val="32"/>
        </w:rPr>
      </w:pPr>
    </w:p>
    <w:p w14:paraId="1667DC7C" w14:textId="77777777" w:rsidR="00F04078" w:rsidRDefault="00F04078" w:rsidP="001B1751">
      <w:pPr>
        <w:tabs>
          <w:tab w:val="left" w:pos="360"/>
        </w:tabs>
        <w:ind w:left="360"/>
        <w:contextualSpacing/>
        <w:jc w:val="center"/>
        <w:outlineLvl w:val="1"/>
        <w:rPr>
          <w:b/>
          <w:bCs/>
          <w:smallCaps/>
          <w:sz w:val="32"/>
          <w:szCs w:val="32"/>
        </w:rPr>
      </w:pPr>
    </w:p>
    <w:p w14:paraId="060E48DC" w14:textId="77777777" w:rsidR="00F04078" w:rsidRDefault="00F04078" w:rsidP="00F04078">
      <w:pPr>
        <w:tabs>
          <w:tab w:val="left" w:pos="360"/>
        </w:tabs>
        <w:ind w:left="426" w:hanging="66"/>
        <w:contextualSpacing/>
        <w:jc w:val="center"/>
        <w:outlineLvl w:val="1"/>
        <w:rPr>
          <w:b/>
          <w:bCs/>
          <w:smallCaps/>
          <w:sz w:val="32"/>
          <w:szCs w:val="32"/>
        </w:rPr>
      </w:pPr>
    </w:p>
    <w:p w14:paraId="60787FA1" w14:textId="298247EE" w:rsidR="001B1751" w:rsidRDefault="00475054" w:rsidP="001B1751">
      <w:pPr>
        <w:tabs>
          <w:tab w:val="left" w:pos="360"/>
        </w:tabs>
        <w:ind w:left="360"/>
        <w:contextualSpacing/>
        <w:jc w:val="center"/>
        <w:outlineLvl w:val="1"/>
        <w:rPr>
          <w:b/>
          <w:bCs/>
          <w:smallCaps/>
          <w:sz w:val="32"/>
          <w:szCs w:val="32"/>
        </w:rPr>
      </w:pPr>
      <w:r>
        <w:rPr>
          <w:b/>
          <w:bCs/>
          <w:smallCaps/>
          <w:sz w:val="32"/>
          <w:szCs w:val="32"/>
        </w:rPr>
        <w:t xml:space="preserve"> </w:t>
      </w:r>
      <w:r w:rsidR="001B1751" w:rsidRPr="001B1751">
        <w:rPr>
          <w:b/>
          <w:bCs/>
          <w:smallCaps/>
          <w:sz w:val="32"/>
          <w:szCs w:val="32"/>
        </w:rPr>
        <w:t>Terms of Reference</w:t>
      </w:r>
      <w:bookmarkEnd w:id="0"/>
      <w:bookmarkEnd w:id="1"/>
      <w:bookmarkEnd w:id="2"/>
      <w:bookmarkEnd w:id="3"/>
    </w:p>
    <w:p w14:paraId="4CF11A7C" w14:textId="0325E933" w:rsidR="00107824" w:rsidRPr="009E15E8" w:rsidRDefault="001B1751" w:rsidP="009E15E8">
      <w:pPr>
        <w:tabs>
          <w:tab w:val="left" w:pos="360"/>
        </w:tabs>
        <w:ind w:left="360"/>
        <w:contextualSpacing/>
        <w:jc w:val="center"/>
        <w:outlineLvl w:val="1"/>
        <w:rPr>
          <w:b/>
          <w:bCs/>
          <w:smallCaps/>
          <w:sz w:val="32"/>
          <w:szCs w:val="32"/>
        </w:rPr>
      </w:pPr>
      <w:r>
        <w:rPr>
          <w:b/>
          <w:bCs/>
          <w:smallCaps/>
          <w:sz w:val="32"/>
          <w:szCs w:val="32"/>
        </w:rPr>
        <w:t xml:space="preserve">Independent Verification </w:t>
      </w:r>
      <w:r w:rsidR="0034257D">
        <w:rPr>
          <w:b/>
          <w:bCs/>
          <w:smallCaps/>
          <w:sz w:val="32"/>
          <w:szCs w:val="32"/>
        </w:rPr>
        <w:t>Agent For</w:t>
      </w:r>
      <w:r>
        <w:rPr>
          <w:b/>
          <w:bCs/>
          <w:smallCaps/>
          <w:sz w:val="32"/>
          <w:szCs w:val="32"/>
        </w:rPr>
        <w:t xml:space="preserve"> RCRF Expenditure Program </w:t>
      </w:r>
      <w:r w:rsidR="0034257D">
        <w:rPr>
          <w:b/>
          <w:bCs/>
          <w:smallCaps/>
          <w:sz w:val="32"/>
          <w:szCs w:val="32"/>
        </w:rPr>
        <w:t>For</w:t>
      </w:r>
      <w:r w:rsidR="004168B0">
        <w:rPr>
          <w:b/>
          <w:bCs/>
          <w:smallCaps/>
          <w:sz w:val="32"/>
          <w:szCs w:val="32"/>
        </w:rPr>
        <w:t xml:space="preserve"> FY 2022/2023</w:t>
      </w:r>
    </w:p>
    <w:p w14:paraId="447A7AF9" w14:textId="0A6C3D35" w:rsidR="00107824" w:rsidRDefault="00107824" w:rsidP="007427AF">
      <w:pPr>
        <w:jc w:val="center"/>
        <w:rPr>
          <w:b/>
          <w:sz w:val="24"/>
          <w:szCs w:val="24"/>
        </w:rPr>
      </w:pPr>
    </w:p>
    <w:p w14:paraId="2C6C52BB" w14:textId="77777777" w:rsidR="009D76C4" w:rsidRPr="009D76C4" w:rsidRDefault="009D76C4" w:rsidP="009D76C4">
      <w:pPr>
        <w:spacing w:after="120"/>
        <w:rPr>
          <w:b/>
          <w:sz w:val="24"/>
          <w:szCs w:val="24"/>
        </w:rPr>
      </w:pPr>
      <w:r w:rsidRPr="009D76C4">
        <w:rPr>
          <w:b/>
          <w:sz w:val="24"/>
          <w:szCs w:val="24"/>
        </w:rPr>
        <w:t>1. Introduction</w:t>
      </w:r>
    </w:p>
    <w:p w14:paraId="52AE92EB" w14:textId="5075EF45" w:rsidR="009D76C4" w:rsidRPr="009D76C4" w:rsidRDefault="009D76C4" w:rsidP="00D974DB">
      <w:pPr>
        <w:numPr>
          <w:ilvl w:val="1"/>
          <w:numId w:val="1"/>
        </w:numPr>
        <w:spacing w:after="120"/>
        <w:jc w:val="both"/>
        <w:rPr>
          <w:sz w:val="24"/>
          <w:szCs w:val="24"/>
        </w:rPr>
      </w:pPr>
      <w:r w:rsidRPr="009D76C4">
        <w:rPr>
          <w:sz w:val="24"/>
          <w:szCs w:val="24"/>
        </w:rPr>
        <w:t xml:space="preserve">The Federal Government of Somalia (FGS) has entered into agreements for grants and financing with the World Bank for the Recurrent Cost and Reform Financing, Phase II (RCRF II) and Phase III (RCRF III) Projects (“Projects”). The Projects are a central instrument in the World Bank Somalia Project portfolio and are an important source of financing and support to the FGS and FMS. For 2020 under RCRF II, up to USD 10 million of Project financing </w:t>
      </w:r>
      <w:r>
        <w:rPr>
          <w:sz w:val="24"/>
          <w:szCs w:val="24"/>
        </w:rPr>
        <w:t>was</w:t>
      </w:r>
      <w:r w:rsidRPr="009D76C4">
        <w:rPr>
          <w:sz w:val="24"/>
          <w:szCs w:val="24"/>
        </w:rPr>
        <w:t xml:space="preserve"> planned to be made available should FGS perform satisfactorily the following: -</w:t>
      </w:r>
    </w:p>
    <w:p w14:paraId="0E472A0D" w14:textId="13E6A226" w:rsidR="009D76C4" w:rsidRPr="009D76C4" w:rsidRDefault="009D76C4" w:rsidP="00D974DB">
      <w:pPr>
        <w:numPr>
          <w:ilvl w:val="2"/>
          <w:numId w:val="1"/>
        </w:numPr>
        <w:spacing w:after="120"/>
        <w:jc w:val="both"/>
        <w:rPr>
          <w:sz w:val="24"/>
          <w:szCs w:val="24"/>
        </w:rPr>
      </w:pPr>
      <w:r w:rsidRPr="009D76C4">
        <w:rPr>
          <w:sz w:val="24"/>
          <w:szCs w:val="24"/>
        </w:rPr>
        <w:t xml:space="preserve">demonstrate reform progress and results as measured through Disbursement-Based-Indicators (DLI) agreed to between the FGS and the World Bank. World Bank support through this modality is </w:t>
      </w:r>
      <w:r w:rsidR="00513BFD" w:rsidRPr="009D76C4">
        <w:rPr>
          <w:sz w:val="24"/>
          <w:szCs w:val="24"/>
        </w:rPr>
        <w:t>planned through</w:t>
      </w:r>
      <w:r w:rsidRPr="009D76C4">
        <w:rPr>
          <w:sz w:val="24"/>
          <w:szCs w:val="24"/>
        </w:rPr>
        <w:t xml:space="preserve"> 202</w:t>
      </w:r>
      <w:r w:rsidR="00741068">
        <w:rPr>
          <w:sz w:val="24"/>
          <w:szCs w:val="24"/>
        </w:rPr>
        <w:t>2</w:t>
      </w:r>
      <w:r w:rsidRPr="009D76C4">
        <w:rPr>
          <w:sz w:val="24"/>
          <w:szCs w:val="24"/>
        </w:rPr>
        <w:t>, and</w:t>
      </w:r>
      <w:r w:rsidR="00741068">
        <w:rPr>
          <w:sz w:val="24"/>
          <w:szCs w:val="24"/>
        </w:rPr>
        <w:t xml:space="preserve"> 2023</w:t>
      </w:r>
    </w:p>
    <w:p w14:paraId="5B24DEAE" w14:textId="77777777" w:rsidR="009D76C4" w:rsidRPr="009D76C4" w:rsidRDefault="009D76C4" w:rsidP="00D974DB">
      <w:pPr>
        <w:numPr>
          <w:ilvl w:val="2"/>
          <w:numId w:val="1"/>
        </w:numPr>
        <w:spacing w:after="120"/>
        <w:jc w:val="both"/>
        <w:rPr>
          <w:sz w:val="24"/>
          <w:szCs w:val="24"/>
        </w:rPr>
      </w:pPr>
      <w:r w:rsidRPr="009D76C4">
        <w:rPr>
          <w:sz w:val="24"/>
          <w:szCs w:val="24"/>
        </w:rPr>
        <w:t>incur sufficient eligible costs not otherwise funded under the Project, known as the Eligible Expenditure Program (EEP).</w:t>
      </w:r>
    </w:p>
    <w:p w14:paraId="307FAEA0" w14:textId="77777777" w:rsidR="009D76C4" w:rsidRPr="009D76C4" w:rsidRDefault="009D76C4" w:rsidP="00D974DB">
      <w:pPr>
        <w:numPr>
          <w:ilvl w:val="1"/>
          <w:numId w:val="1"/>
        </w:numPr>
        <w:spacing w:after="120"/>
        <w:jc w:val="both"/>
        <w:rPr>
          <w:sz w:val="24"/>
          <w:szCs w:val="24"/>
        </w:rPr>
      </w:pPr>
      <w:r w:rsidRPr="009D76C4">
        <w:rPr>
          <w:sz w:val="24"/>
          <w:szCs w:val="24"/>
        </w:rPr>
        <w:t>The RCRF II Project Paper for Additional Financing</w:t>
      </w:r>
      <w:r w:rsidRPr="009D76C4">
        <w:rPr>
          <w:sz w:val="24"/>
          <w:szCs w:val="24"/>
          <w:vertAlign w:val="superscript"/>
        </w:rPr>
        <w:footnoteReference w:id="1"/>
      </w:r>
      <w:r w:rsidRPr="009D76C4">
        <w:rPr>
          <w:sz w:val="24"/>
          <w:szCs w:val="24"/>
        </w:rPr>
        <w:t xml:space="preserve"> (“Project Paper”), which was approved by the World Bank Board in August 2018, describes the Project approach to DLIs, including considerations for the IVA verification of DLIs as well as the EEP. </w:t>
      </w:r>
    </w:p>
    <w:p w14:paraId="2D5AFBCE" w14:textId="09D3166D" w:rsidR="009D76C4" w:rsidRPr="009D76C4" w:rsidRDefault="009D76C4" w:rsidP="00D974DB">
      <w:pPr>
        <w:numPr>
          <w:ilvl w:val="1"/>
          <w:numId w:val="1"/>
        </w:numPr>
        <w:spacing w:after="120"/>
        <w:jc w:val="both"/>
        <w:rPr>
          <w:sz w:val="24"/>
          <w:szCs w:val="24"/>
        </w:rPr>
      </w:pPr>
      <w:r w:rsidRPr="009D76C4">
        <w:rPr>
          <w:sz w:val="24"/>
          <w:szCs w:val="24"/>
        </w:rPr>
        <w:t xml:space="preserve">The RCRF III Project </w:t>
      </w:r>
      <w:r w:rsidR="00F02EEA">
        <w:rPr>
          <w:sz w:val="24"/>
          <w:szCs w:val="24"/>
        </w:rPr>
        <w:t>beca</w:t>
      </w:r>
      <w:r w:rsidR="0034257D">
        <w:rPr>
          <w:sz w:val="24"/>
          <w:szCs w:val="24"/>
        </w:rPr>
        <w:t>me effective in December, 2020</w:t>
      </w:r>
      <w:r w:rsidRPr="009D76C4">
        <w:rPr>
          <w:sz w:val="24"/>
          <w:szCs w:val="24"/>
        </w:rPr>
        <w:t xml:space="preserve">. Similarly, the eligible expenditures and achievement of the Performance-Based Conditions (PBCs) will be independently verified by the FGS Auditor General with support of technical assistance, and in the case of newly introduced Federal Member State (FMS)-level PBCs, in a collaborative manner involving the FMS-level OAGs in verification. </w:t>
      </w:r>
    </w:p>
    <w:p w14:paraId="167AD2D9" w14:textId="77777777" w:rsidR="009D76C4" w:rsidRPr="009D76C4" w:rsidRDefault="009D76C4" w:rsidP="00D974DB">
      <w:pPr>
        <w:numPr>
          <w:ilvl w:val="1"/>
          <w:numId w:val="1"/>
        </w:numPr>
        <w:spacing w:after="120"/>
        <w:jc w:val="both"/>
        <w:rPr>
          <w:sz w:val="24"/>
          <w:szCs w:val="24"/>
        </w:rPr>
      </w:pPr>
      <w:r w:rsidRPr="009D76C4">
        <w:rPr>
          <w:sz w:val="24"/>
          <w:szCs w:val="24"/>
        </w:rPr>
        <w:t>The Project Appraisal Documents (PADs) and financing agreements state that the primary responsibility for verifying government actions with respect to DLIs/PBCs will be the responsibility of` the Office of the Auditor General of Somalia (OAGS) as the Somalia’s Supreme Audit Institution (SAI), and in the case of FMS-level PBCs working in collaboration with FMS-level OAGs. This direction stems from the desire to realize the benefits of Government ownership of development assistance programming as well as leveraging the competence and objectivity of the OAGS as an institution.</w:t>
      </w:r>
    </w:p>
    <w:p w14:paraId="00F78D7A" w14:textId="33C85973" w:rsidR="009D76C4" w:rsidRPr="009D76C4" w:rsidRDefault="009D76C4" w:rsidP="00D974DB">
      <w:pPr>
        <w:numPr>
          <w:ilvl w:val="1"/>
          <w:numId w:val="1"/>
        </w:numPr>
        <w:spacing w:after="120"/>
        <w:jc w:val="both"/>
        <w:rPr>
          <w:i/>
          <w:sz w:val="24"/>
          <w:szCs w:val="24"/>
        </w:rPr>
      </w:pPr>
      <w:r w:rsidRPr="009D76C4">
        <w:rPr>
          <w:sz w:val="24"/>
          <w:szCs w:val="24"/>
        </w:rPr>
        <w:t>The Project Papers anticipate that the OAGS should be supported through technical assistance (TA) in carrying out this responsibility. As the capabilities of the OAGS have not been recently assessed, and because the</w:t>
      </w:r>
      <w:r w:rsidRPr="009E15E8">
        <w:rPr>
          <w:sz w:val="24"/>
          <w:szCs w:val="24"/>
        </w:rPr>
        <w:t>, OAGS operates under capacity constraints</w:t>
      </w:r>
      <w:r w:rsidRPr="009D76C4">
        <w:rPr>
          <w:sz w:val="24"/>
          <w:szCs w:val="24"/>
        </w:rPr>
        <w:t xml:space="preserve">. </w:t>
      </w:r>
      <w:r w:rsidRPr="009D76C4">
        <w:rPr>
          <w:sz w:val="24"/>
          <w:szCs w:val="24"/>
        </w:rPr>
        <w:lastRenderedPageBreak/>
        <w:t xml:space="preserve">Generally accepted considerations of such safeguards are articulated in ISSAI 10 </w:t>
      </w:r>
      <w:r w:rsidRPr="009D76C4">
        <w:rPr>
          <w:i/>
          <w:sz w:val="24"/>
          <w:szCs w:val="24"/>
        </w:rPr>
        <w:t xml:space="preserve">Mexico Declaration on SAI Independence </w:t>
      </w:r>
      <w:r w:rsidRPr="009D76C4">
        <w:rPr>
          <w:sz w:val="24"/>
          <w:szCs w:val="24"/>
        </w:rPr>
        <w:t xml:space="preserve">and ISSAI 11 </w:t>
      </w:r>
      <w:r w:rsidRPr="009D76C4">
        <w:rPr>
          <w:bCs/>
          <w:i/>
          <w:iCs/>
          <w:sz w:val="24"/>
          <w:szCs w:val="24"/>
        </w:rPr>
        <w:t>Guidelines and Good Practices Related to SAI Independence</w:t>
      </w:r>
      <w:r w:rsidRPr="009D76C4">
        <w:rPr>
          <w:bCs/>
          <w:iCs/>
          <w:sz w:val="24"/>
          <w:szCs w:val="24"/>
        </w:rPr>
        <w:t>.</w:t>
      </w:r>
    </w:p>
    <w:p w14:paraId="33FB2F1A" w14:textId="77777777" w:rsidR="009D76C4" w:rsidRPr="009D76C4" w:rsidRDefault="009D76C4" w:rsidP="00D974DB">
      <w:pPr>
        <w:numPr>
          <w:ilvl w:val="0"/>
          <w:numId w:val="1"/>
        </w:numPr>
        <w:spacing w:after="120"/>
        <w:jc w:val="both"/>
        <w:rPr>
          <w:b/>
          <w:sz w:val="24"/>
          <w:szCs w:val="24"/>
        </w:rPr>
      </w:pPr>
      <w:r w:rsidRPr="009D76C4">
        <w:rPr>
          <w:b/>
          <w:sz w:val="24"/>
          <w:szCs w:val="24"/>
        </w:rPr>
        <w:t>Assignment objectives</w:t>
      </w:r>
    </w:p>
    <w:p w14:paraId="464AD19C" w14:textId="32D788F6" w:rsidR="009D76C4" w:rsidRDefault="009D76C4" w:rsidP="00D974DB">
      <w:pPr>
        <w:numPr>
          <w:ilvl w:val="1"/>
          <w:numId w:val="1"/>
        </w:numPr>
        <w:spacing w:after="120"/>
        <w:jc w:val="both"/>
        <w:rPr>
          <w:sz w:val="24"/>
          <w:szCs w:val="24"/>
        </w:rPr>
      </w:pPr>
      <w:r w:rsidRPr="009D76C4">
        <w:rPr>
          <w:sz w:val="24"/>
          <w:szCs w:val="24"/>
        </w:rPr>
        <w:t>The objective of this ToR is to enable the OAGS to effectively take responsibility for verification activities and deliver reports to the World Bank on: a) verification of FGS actions and performance on DLIs, and the sufficiency of the EEP, under RCRF II</w:t>
      </w:r>
      <w:r w:rsidR="00A2029F">
        <w:rPr>
          <w:sz w:val="24"/>
          <w:szCs w:val="24"/>
        </w:rPr>
        <w:t xml:space="preserve"> </w:t>
      </w:r>
      <w:r w:rsidRPr="009D76C4">
        <w:rPr>
          <w:sz w:val="24"/>
          <w:szCs w:val="24"/>
        </w:rPr>
        <w:t>and; b) verification of FGS and FMS actions and performance on Performance Based Conditions (PBCs) and eligible expenditures under RCRF III.</w:t>
      </w:r>
    </w:p>
    <w:p w14:paraId="2D7576CB" w14:textId="257170E0" w:rsidR="00B16F23" w:rsidRPr="009D76C4" w:rsidRDefault="00B16F23" w:rsidP="00B16F23">
      <w:pPr>
        <w:spacing w:after="120"/>
        <w:ind w:left="792"/>
        <w:jc w:val="both"/>
        <w:rPr>
          <w:sz w:val="24"/>
          <w:szCs w:val="24"/>
        </w:rPr>
      </w:pPr>
      <w:r>
        <w:rPr>
          <w:sz w:val="24"/>
          <w:szCs w:val="24"/>
        </w:rPr>
        <w:t xml:space="preserve">Attached Annexes A and B refer to the specific activities of the DLI’s and PBC’s including the newly added deliverables under the RCRF restructuring. The IVA will be required to use these matrices to be well informed of the activities and their respective timelines, and also illustrates the conditions or verification protocols for each deliverable. </w:t>
      </w:r>
    </w:p>
    <w:p w14:paraId="3F5838DB" w14:textId="77777777" w:rsidR="009D76C4" w:rsidRPr="009D76C4" w:rsidRDefault="009D76C4" w:rsidP="00D974DB">
      <w:pPr>
        <w:numPr>
          <w:ilvl w:val="0"/>
          <w:numId w:val="1"/>
        </w:numPr>
        <w:spacing w:after="120"/>
        <w:jc w:val="both"/>
        <w:rPr>
          <w:b/>
          <w:sz w:val="24"/>
          <w:szCs w:val="24"/>
        </w:rPr>
      </w:pPr>
      <w:r w:rsidRPr="009D76C4">
        <w:rPr>
          <w:b/>
          <w:sz w:val="24"/>
          <w:szCs w:val="24"/>
        </w:rPr>
        <w:t>Scope of work</w:t>
      </w:r>
    </w:p>
    <w:p w14:paraId="368A105C" w14:textId="77777777" w:rsidR="009D76C4" w:rsidRPr="000400E6" w:rsidRDefault="009D76C4" w:rsidP="00D974DB">
      <w:pPr>
        <w:numPr>
          <w:ilvl w:val="1"/>
          <w:numId w:val="1"/>
        </w:numPr>
        <w:spacing w:after="120"/>
        <w:jc w:val="both"/>
        <w:rPr>
          <w:sz w:val="24"/>
          <w:szCs w:val="24"/>
        </w:rPr>
      </w:pPr>
      <w:r w:rsidRPr="000400E6">
        <w:rPr>
          <w:sz w:val="24"/>
          <w:szCs w:val="24"/>
        </w:rPr>
        <w:t xml:space="preserve">The Auditor General, as the head of the OAGS, will be responsible for approving and issuing reports. Over time, it is expected that the OAGS will take increasing responsibility for the DLIs/PBCs verification with support of an independent Technical Assistance (TA) for such an appropriate time. In the interim, substantive DLI/PBC verification work will be performed by an appointed TA in collaboration with and supervision of the OAGS. The verification of the eligible expenditures, DLIs and PBCs will be undertaken in strict adherence to the verification protocol as outlined in the Project Operations Manuals (POMs) for RCRF II and RCRF III.  </w:t>
      </w:r>
    </w:p>
    <w:p w14:paraId="69A27B5A" w14:textId="77777777" w:rsidR="009D76C4" w:rsidRPr="009D76C4" w:rsidRDefault="009D76C4" w:rsidP="00D974DB">
      <w:pPr>
        <w:numPr>
          <w:ilvl w:val="0"/>
          <w:numId w:val="1"/>
        </w:numPr>
        <w:spacing w:after="120"/>
        <w:jc w:val="both"/>
        <w:rPr>
          <w:b/>
          <w:sz w:val="24"/>
          <w:szCs w:val="24"/>
        </w:rPr>
      </w:pPr>
      <w:r w:rsidRPr="009D76C4">
        <w:rPr>
          <w:b/>
          <w:sz w:val="24"/>
          <w:szCs w:val="24"/>
        </w:rPr>
        <w:t>Timeframe</w:t>
      </w:r>
    </w:p>
    <w:p w14:paraId="1963150C" w14:textId="3005EBF4" w:rsidR="009D76C4" w:rsidRPr="009D76C4" w:rsidRDefault="009D76C4" w:rsidP="00D974DB">
      <w:pPr>
        <w:numPr>
          <w:ilvl w:val="1"/>
          <w:numId w:val="1"/>
        </w:numPr>
        <w:spacing w:after="120"/>
        <w:jc w:val="both"/>
        <w:rPr>
          <w:sz w:val="24"/>
          <w:szCs w:val="24"/>
        </w:rPr>
      </w:pPr>
      <w:r w:rsidRPr="009D76C4">
        <w:rPr>
          <w:sz w:val="24"/>
          <w:szCs w:val="24"/>
        </w:rPr>
        <w:t xml:space="preserve">The assignment will be from date of contracting </w:t>
      </w:r>
      <w:r w:rsidR="00F02EEA">
        <w:rPr>
          <w:sz w:val="24"/>
          <w:szCs w:val="24"/>
        </w:rPr>
        <w:t xml:space="preserve">through </w:t>
      </w:r>
      <w:r w:rsidRPr="009D76C4">
        <w:rPr>
          <w:sz w:val="24"/>
          <w:szCs w:val="24"/>
        </w:rPr>
        <w:t xml:space="preserve">to </w:t>
      </w:r>
      <w:r w:rsidRPr="00A2029F">
        <w:rPr>
          <w:sz w:val="24"/>
          <w:szCs w:val="24"/>
        </w:rPr>
        <w:t>31</w:t>
      </w:r>
      <w:r w:rsidRPr="00A2029F">
        <w:rPr>
          <w:sz w:val="24"/>
          <w:szCs w:val="24"/>
          <w:vertAlign w:val="superscript"/>
        </w:rPr>
        <w:t>st</w:t>
      </w:r>
      <w:r w:rsidR="0034257D" w:rsidRPr="00A2029F">
        <w:rPr>
          <w:sz w:val="24"/>
          <w:szCs w:val="24"/>
        </w:rPr>
        <w:t xml:space="preserve"> March 202</w:t>
      </w:r>
      <w:r w:rsidR="00A2029F" w:rsidRPr="00A2029F">
        <w:rPr>
          <w:sz w:val="24"/>
          <w:szCs w:val="24"/>
        </w:rPr>
        <w:t>3</w:t>
      </w:r>
      <w:r w:rsidRPr="00A2029F">
        <w:rPr>
          <w:sz w:val="24"/>
          <w:szCs w:val="24"/>
        </w:rPr>
        <w:t>.</w:t>
      </w:r>
      <w:r w:rsidRPr="009D76C4">
        <w:rPr>
          <w:sz w:val="24"/>
          <w:szCs w:val="24"/>
        </w:rPr>
        <w:t xml:space="preserve"> </w:t>
      </w:r>
    </w:p>
    <w:p w14:paraId="092B2FAD" w14:textId="77777777" w:rsidR="009D76C4" w:rsidRPr="009D76C4" w:rsidRDefault="009D76C4" w:rsidP="00D974DB">
      <w:pPr>
        <w:numPr>
          <w:ilvl w:val="0"/>
          <w:numId w:val="1"/>
        </w:numPr>
        <w:spacing w:after="120"/>
        <w:jc w:val="both"/>
        <w:rPr>
          <w:b/>
          <w:sz w:val="24"/>
          <w:szCs w:val="24"/>
        </w:rPr>
      </w:pPr>
      <w:r w:rsidRPr="009D76C4">
        <w:rPr>
          <w:b/>
          <w:sz w:val="24"/>
          <w:szCs w:val="24"/>
        </w:rPr>
        <w:t>Responsibilities</w:t>
      </w:r>
    </w:p>
    <w:p w14:paraId="58D0A9CE" w14:textId="69303E9B" w:rsidR="009D76C4" w:rsidRPr="009D76C4" w:rsidRDefault="009D76C4" w:rsidP="00D974DB">
      <w:pPr>
        <w:numPr>
          <w:ilvl w:val="1"/>
          <w:numId w:val="1"/>
        </w:numPr>
        <w:spacing w:after="120"/>
        <w:jc w:val="both"/>
        <w:rPr>
          <w:sz w:val="24"/>
          <w:szCs w:val="24"/>
        </w:rPr>
      </w:pPr>
      <w:r w:rsidRPr="009D76C4">
        <w:rPr>
          <w:sz w:val="24"/>
          <w:szCs w:val="24"/>
        </w:rPr>
        <w:t>To initiate the work and close consultation with the Auditor General, the TA</w:t>
      </w:r>
      <w:r w:rsidR="00C411E5">
        <w:rPr>
          <w:sz w:val="24"/>
          <w:szCs w:val="24"/>
        </w:rPr>
        <w:t>, within two weeks following the contract signature,</w:t>
      </w:r>
      <w:r w:rsidRPr="009D76C4">
        <w:rPr>
          <w:sz w:val="24"/>
          <w:szCs w:val="24"/>
        </w:rPr>
        <w:t xml:space="preserve"> will develop the structure, policies, procedures and tools to carry out the work to ensure competence and safeguard independence of the function. This will substantively entail the TA establishing a functional organization to carry out the IVA work as follows: -</w:t>
      </w:r>
    </w:p>
    <w:p w14:paraId="580F393F" w14:textId="77777777" w:rsidR="009D76C4" w:rsidRPr="009D76C4" w:rsidRDefault="009D76C4" w:rsidP="00D974DB">
      <w:pPr>
        <w:numPr>
          <w:ilvl w:val="2"/>
          <w:numId w:val="1"/>
        </w:numPr>
        <w:spacing w:after="120"/>
        <w:jc w:val="both"/>
        <w:rPr>
          <w:sz w:val="24"/>
          <w:szCs w:val="24"/>
        </w:rPr>
      </w:pPr>
      <w:r w:rsidRPr="009D76C4">
        <w:rPr>
          <w:sz w:val="24"/>
          <w:szCs w:val="24"/>
        </w:rPr>
        <w:t>Design and document roles, responsibilities and workflows within the TA team, as well as interfaces with the Auditor General, as well as the FMS-level OAGs in the case of the FMS-level PBCs.</w:t>
      </w:r>
    </w:p>
    <w:p w14:paraId="5B1417ED" w14:textId="77777777" w:rsidR="009D76C4" w:rsidRPr="009D76C4" w:rsidRDefault="009D76C4" w:rsidP="00D974DB">
      <w:pPr>
        <w:numPr>
          <w:ilvl w:val="2"/>
          <w:numId w:val="1"/>
        </w:numPr>
        <w:spacing w:after="120"/>
        <w:jc w:val="both"/>
        <w:rPr>
          <w:sz w:val="24"/>
          <w:szCs w:val="24"/>
        </w:rPr>
      </w:pPr>
      <w:r w:rsidRPr="009D76C4">
        <w:rPr>
          <w:sz w:val="24"/>
          <w:szCs w:val="24"/>
        </w:rPr>
        <w:t xml:space="preserve">Establish and operationalize an information technology (IT) enabled secure document management system suitable to support the verification work. </w:t>
      </w:r>
    </w:p>
    <w:p w14:paraId="2CE6CA79" w14:textId="77777777" w:rsidR="009D76C4" w:rsidRPr="009D76C4" w:rsidRDefault="009D76C4" w:rsidP="00D974DB">
      <w:pPr>
        <w:numPr>
          <w:ilvl w:val="2"/>
          <w:numId w:val="1"/>
        </w:numPr>
        <w:spacing w:after="120"/>
        <w:jc w:val="both"/>
        <w:rPr>
          <w:sz w:val="24"/>
          <w:szCs w:val="24"/>
        </w:rPr>
      </w:pPr>
      <w:r w:rsidRPr="009D76C4">
        <w:rPr>
          <w:sz w:val="24"/>
          <w:szCs w:val="24"/>
        </w:rPr>
        <w:t xml:space="preserve">Design and document approach to safeguarding independence of team members and of the verification function guided by principles, safeguards and guidance articulated in ISSAI 10 </w:t>
      </w:r>
      <w:r w:rsidRPr="009D76C4">
        <w:rPr>
          <w:i/>
          <w:sz w:val="24"/>
          <w:szCs w:val="24"/>
        </w:rPr>
        <w:t xml:space="preserve">Mexico Declaration on SAI Independence </w:t>
      </w:r>
      <w:r w:rsidRPr="009D76C4">
        <w:rPr>
          <w:sz w:val="24"/>
          <w:szCs w:val="24"/>
        </w:rPr>
        <w:t xml:space="preserve">and ISSAI 11 </w:t>
      </w:r>
      <w:r w:rsidRPr="009D76C4">
        <w:rPr>
          <w:bCs/>
          <w:i/>
          <w:iCs/>
          <w:sz w:val="24"/>
          <w:szCs w:val="24"/>
        </w:rPr>
        <w:t>Guidelines and Good Practices Related to SAI Independence</w:t>
      </w:r>
      <w:r w:rsidRPr="009D76C4">
        <w:rPr>
          <w:bCs/>
          <w:iCs/>
          <w:sz w:val="24"/>
          <w:szCs w:val="24"/>
        </w:rPr>
        <w:t>. Residual threats to independence should be documented in the same document.</w:t>
      </w:r>
    </w:p>
    <w:p w14:paraId="2CF24299" w14:textId="77777777" w:rsidR="009D76C4" w:rsidRPr="009D76C4" w:rsidRDefault="009D76C4" w:rsidP="00D974DB">
      <w:pPr>
        <w:numPr>
          <w:ilvl w:val="2"/>
          <w:numId w:val="1"/>
        </w:numPr>
        <w:spacing w:after="120"/>
        <w:jc w:val="both"/>
        <w:rPr>
          <w:sz w:val="24"/>
          <w:szCs w:val="24"/>
        </w:rPr>
      </w:pPr>
      <w:r w:rsidRPr="009D76C4">
        <w:rPr>
          <w:sz w:val="24"/>
          <w:szCs w:val="24"/>
        </w:rPr>
        <w:lastRenderedPageBreak/>
        <w:t>Design and document a quality management system considering guidance and considerations articulated in ISSAI 40 </w:t>
      </w:r>
      <w:r w:rsidRPr="009D76C4">
        <w:rPr>
          <w:i/>
          <w:sz w:val="24"/>
          <w:szCs w:val="24"/>
        </w:rPr>
        <w:t>Quality Control for SAIs</w:t>
      </w:r>
      <w:r w:rsidRPr="009D76C4">
        <w:rPr>
          <w:sz w:val="24"/>
          <w:szCs w:val="24"/>
        </w:rPr>
        <w:t>.</w:t>
      </w:r>
    </w:p>
    <w:p w14:paraId="64F1BBB9" w14:textId="77777777" w:rsidR="009D76C4" w:rsidRPr="009D76C4" w:rsidRDefault="009D76C4" w:rsidP="00D974DB">
      <w:pPr>
        <w:numPr>
          <w:ilvl w:val="2"/>
          <w:numId w:val="1"/>
        </w:numPr>
        <w:spacing w:after="120"/>
        <w:jc w:val="both"/>
        <w:rPr>
          <w:sz w:val="24"/>
          <w:szCs w:val="24"/>
        </w:rPr>
      </w:pPr>
      <w:r w:rsidRPr="009D76C4">
        <w:rPr>
          <w:sz w:val="24"/>
          <w:szCs w:val="24"/>
        </w:rPr>
        <w:t>Design and document policies and procedures to ensure confidentiality of data obtained through the IVA activities.</w:t>
      </w:r>
    </w:p>
    <w:p w14:paraId="28BBA7BD" w14:textId="77777777" w:rsidR="009D76C4" w:rsidRPr="009D76C4" w:rsidRDefault="009D76C4" w:rsidP="00D974DB">
      <w:pPr>
        <w:numPr>
          <w:ilvl w:val="2"/>
          <w:numId w:val="1"/>
        </w:numPr>
        <w:spacing w:after="120"/>
        <w:jc w:val="both"/>
        <w:rPr>
          <w:sz w:val="24"/>
          <w:szCs w:val="24"/>
        </w:rPr>
      </w:pPr>
      <w:r w:rsidRPr="009D76C4">
        <w:rPr>
          <w:sz w:val="24"/>
          <w:szCs w:val="24"/>
        </w:rPr>
        <w:t>Design and document the approach to the verification activities, including:</w:t>
      </w:r>
    </w:p>
    <w:p w14:paraId="421EB6FB" w14:textId="77777777" w:rsidR="009D76C4" w:rsidRPr="009D76C4" w:rsidRDefault="009D76C4" w:rsidP="00D974DB">
      <w:pPr>
        <w:numPr>
          <w:ilvl w:val="3"/>
          <w:numId w:val="2"/>
        </w:numPr>
        <w:spacing w:after="120"/>
        <w:jc w:val="both"/>
        <w:rPr>
          <w:sz w:val="24"/>
          <w:szCs w:val="24"/>
        </w:rPr>
      </w:pPr>
      <w:r w:rsidRPr="009D76C4">
        <w:rPr>
          <w:sz w:val="24"/>
          <w:szCs w:val="24"/>
        </w:rPr>
        <w:t xml:space="preserve">the strategy to be adopted to carry out the assignment, including details of the planning, execution and completion cycles; </w:t>
      </w:r>
    </w:p>
    <w:p w14:paraId="2F5E934D" w14:textId="77777777" w:rsidR="009D76C4" w:rsidRPr="009D76C4" w:rsidRDefault="009D76C4" w:rsidP="00D974DB">
      <w:pPr>
        <w:numPr>
          <w:ilvl w:val="3"/>
          <w:numId w:val="2"/>
        </w:numPr>
        <w:spacing w:after="120"/>
        <w:jc w:val="both"/>
        <w:rPr>
          <w:sz w:val="24"/>
          <w:szCs w:val="24"/>
        </w:rPr>
      </w:pPr>
      <w:r w:rsidRPr="009D76C4">
        <w:rPr>
          <w:sz w:val="24"/>
          <w:szCs w:val="24"/>
        </w:rPr>
        <w:t>an assessment of areas for verification work focus;</w:t>
      </w:r>
    </w:p>
    <w:p w14:paraId="5A45BBD3" w14:textId="2DCC72C6" w:rsidR="009D76C4" w:rsidRPr="009D76C4" w:rsidRDefault="009D76C4" w:rsidP="00D974DB">
      <w:pPr>
        <w:numPr>
          <w:ilvl w:val="3"/>
          <w:numId w:val="2"/>
        </w:numPr>
        <w:spacing w:after="120"/>
        <w:jc w:val="both"/>
        <w:rPr>
          <w:sz w:val="24"/>
          <w:szCs w:val="24"/>
        </w:rPr>
      </w:pPr>
      <w:r w:rsidRPr="009D76C4">
        <w:rPr>
          <w:sz w:val="24"/>
          <w:szCs w:val="24"/>
        </w:rPr>
        <w:t xml:space="preserve">reporting arrangements for when and how the IVA will report; for the IVA activities the Auditor General and FMS-level OAGs will undertake, to the World Bank RCRF Project Task Team Leader through the </w:t>
      </w:r>
      <w:r w:rsidR="00F02EEA">
        <w:rPr>
          <w:sz w:val="24"/>
          <w:szCs w:val="24"/>
        </w:rPr>
        <w:t xml:space="preserve">RCRF </w:t>
      </w:r>
      <w:r>
        <w:rPr>
          <w:sz w:val="24"/>
          <w:szCs w:val="24"/>
        </w:rPr>
        <w:t xml:space="preserve">Project Implementation Unit (PIU) </w:t>
      </w:r>
      <w:r w:rsidRPr="009D76C4">
        <w:rPr>
          <w:sz w:val="24"/>
          <w:szCs w:val="24"/>
        </w:rPr>
        <w:t xml:space="preserve">housed in the Ministry of Finance  </w:t>
      </w:r>
    </w:p>
    <w:p w14:paraId="4043791A" w14:textId="7ADEB6C4" w:rsidR="009D76C4" w:rsidRDefault="009D76C4" w:rsidP="00D974DB">
      <w:pPr>
        <w:numPr>
          <w:ilvl w:val="3"/>
          <w:numId w:val="2"/>
        </w:numPr>
        <w:spacing w:after="120"/>
        <w:jc w:val="both"/>
        <w:rPr>
          <w:sz w:val="24"/>
          <w:szCs w:val="24"/>
        </w:rPr>
      </w:pPr>
      <w:r w:rsidRPr="009D76C4">
        <w:rPr>
          <w:sz w:val="24"/>
          <w:szCs w:val="24"/>
        </w:rPr>
        <w:t xml:space="preserve">communication plan for engagement with management and other individuals subject to the IVA work </w:t>
      </w:r>
    </w:p>
    <w:p w14:paraId="4D168413" w14:textId="281C69F2" w:rsidR="00C411E5" w:rsidRDefault="00C411E5" w:rsidP="00D974DB">
      <w:pPr>
        <w:numPr>
          <w:ilvl w:val="3"/>
          <w:numId w:val="2"/>
        </w:numPr>
        <w:spacing w:after="120"/>
        <w:jc w:val="both"/>
        <w:rPr>
          <w:sz w:val="24"/>
          <w:szCs w:val="24"/>
        </w:rPr>
      </w:pPr>
      <w:r>
        <w:rPr>
          <w:sz w:val="24"/>
          <w:szCs w:val="24"/>
        </w:rPr>
        <w:t xml:space="preserve">Plan a capacity building and skills transfer mechanism to enable theOffice of the Auditor General </w:t>
      </w:r>
      <w:r w:rsidR="00D674EA">
        <w:rPr>
          <w:sz w:val="24"/>
          <w:szCs w:val="24"/>
        </w:rPr>
        <w:t xml:space="preserve">staff to </w:t>
      </w:r>
      <w:r>
        <w:rPr>
          <w:sz w:val="24"/>
          <w:szCs w:val="24"/>
        </w:rPr>
        <w:t xml:space="preserve">undertake such verification </w:t>
      </w:r>
      <w:r w:rsidR="00D674EA">
        <w:rPr>
          <w:sz w:val="24"/>
          <w:szCs w:val="24"/>
        </w:rPr>
        <w:t>exercises</w:t>
      </w:r>
      <w:r>
        <w:rPr>
          <w:sz w:val="24"/>
          <w:szCs w:val="24"/>
        </w:rPr>
        <w:t xml:space="preserve"> on its own in the near </w:t>
      </w:r>
      <w:r w:rsidR="00D674EA">
        <w:rPr>
          <w:sz w:val="24"/>
          <w:szCs w:val="24"/>
        </w:rPr>
        <w:t>future</w:t>
      </w:r>
      <w:r>
        <w:rPr>
          <w:sz w:val="24"/>
          <w:szCs w:val="24"/>
        </w:rPr>
        <w:t>;</w:t>
      </w:r>
    </w:p>
    <w:p w14:paraId="0A089575" w14:textId="75AA016A" w:rsidR="00D674EA" w:rsidRPr="009D76C4" w:rsidRDefault="00D674EA" w:rsidP="00D974DB">
      <w:pPr>
        <w:numPr>
          <w:ilvl w:val="3"/>
          <w:numId w:val="2"/>
        </w:numPr>
        <w:spacing w:after="120"/>
        <w:jc w:val="both"/>
        <w:rPr>
          <w:sz w:val="24"/>
          <w:szCs w:val="24"/>
        </w:rPr>
      </w:pPr>
      <w:r>
        <w:rPr>
          <w:sz w:val="24"/>
          <w:szCs w:val="24"/>
        </w:rPr>
        <w:t xml:space="preserve">Provide on </w:t>
      </w:r>
      <w:r w:rsidR="005167E8">
        <w:rPr>
          <w:sz w:val="24"/>
          <w:szCs w:val="24"/>
        </w:rPr>
        <w:t xml:space="preserve">the </w:t>
      </w:r>
      <w:r>
        <w:rPr>
          <w:sz w:val="24"/>
          <w:szCs w:val="24"/>
        </w:rPr>
        <w:t>job training for the OAG staff during the verification exercise</w:t>
      </w:r>
      <w:r w:rsidR="00F4614A">
        <w:rPr>
          <w:sz w:val="24"/>
          <w:szCs w:val="24"/>
        </w:rPr>
        <w:t xml:space="preserve"> and </w:t>
      </w:r>
      <w:r w:rsidR="00432CC3">
        <w:rPr>
          <w:sz w:val="24"/>
          <w:szCs w:val="24"/>
        </w:rPr>
        <w:t xml:space="preserve">the </w:t>
      </w:r>
      <w:r w:rsidR="00F4614A">
        <w:rPr>
          <w:sz w:val="24"/>
          <w:szCs w:val="24"/>
        </w:rPr>
        <w:t>reporting stage;</w:t>
      </w:r>
    </w:p>
    <w:p w14:paraId="7789A00D" w14:textId="77777777" w:rsidR="009D76C4" w:rsidRPr="009D76C4" w:rsidRDefault="009D76C4" w:rsidP="00D974DB">
      <w:pPr>
        <w:numPr>
          <w:ilvl w:val="3"/>
          <w:numId w:val="2"/>
        </w:numPr>
        <w:spacing w:after="120"/>
        <w:jc w:val="both"/>
        <w:rPr>
          <w:sz w:val="24"/>
          <w:szCs w:val="24"/>
        </w:rPr>
      </w:pPr>
      <w:r w:rsidRPr="009D76C4">
        <w:rPr>
          <w:sz w:val="24"/>
          <w:szCs w:val="24"/>
        </w:rPr>
        <w:t>Validate the structure, policies, procedures and tools developed with the Auditor General.</w:t>
      </w:r>
    </w:p>
    <w:p w14:paraId="75CE091B" w14:textId="77777777" w:rsidR="009D76C4" w:rsidRPr="009D76C4" w:rsidRDefault="009D76C4" w:rsidP="009D76C4">
      <w:pPr>
        <w:spacing w:after="120"/>
        <w:ind w:left="1728"/>
        <w:contextualSpacing/>
        <w:jc w:val="both"/>
        <w:rPr>
          <w:sz w:val="24"/>
          <w:szCs w:val="24"/>
        </w:rPr>
      </w:pPr>
    </w:p>
    <w:p w14:paraId="7C4050B5" w14:textId="77777777" w:rsidR="009D76C4" w:rsidRPr="009D76C4" w:rsidRDefault="009D76C4" w:rsidP="00D974DB">
      <w:pPr>
        <w:numPr>
          <w:ilvl w:val="1"/>
          <w:numId w:val="1"/>
        </w:numPr>
        <w:spacing w:after="120"/>
        <w:jc w:val="both"/>
        <w:rPr>
          <w:sz w:val="24"/>
          <w:szCs w:val="24"/>
        </w:rPr>
      </w:pPr>
      <w:r w:rsidRPr="009D76C4">
        <w:rPr>
          <w:sz w:val="24"/>
          <w:szCs w:val="24"/>
        </w:rPr>
        <w:t>In the operational phase:</w:t>
      </w:r>
    </w:p>
    <w:p w14:paraId="4A65325B" w14:textId="477C632E" w:rsidR="009D76C4" w:rsidRPr="009D76C4" w:rsidRDefault="009D76C4" w:rsidP="00D974DB">
      <w:pPr>
        <w:numPr>
          <w:ilvl w:val="2"/>
          <w:numId w:val="1"/>
        </w:numPr>
        <w:spacing w:after="120"/>
        <w:jc w:val="both"/>
        <w:rPr>
          <w:sz w:val="24"/>
          <w:szCs w:val="24"/>
        </w:rPr>
      </w:pPr>
      <w:r w:rsidRPr="009D76C4">
        <w:rPr>
          <w:sz w:val="24"/>
          <w:szCs w:val="24"/>
        </w:rPr>
        <w:t>The TA will plan and perform verification activities for two cycles</w:t>
      </w:r>
      <w:r w:rsidR="00A2029F">
        <w:rPr>
          <w:sz w:val="24"/>
          <w:szCs w:val="24"/>
        </w:rPr>
        <w:t>:</w:t>
      </w:r>
      <w:r w:rsidRPr="009D76C4">
        <w:rPr>
          <w:sz w:val="24"/>
          <w:szCs w:val="24"/>
        </w:rPr>
        <w:t xml:space="preserve"> one in 202</w:t>
      </w:r>
      <w:r w:rsidR="00A2029F">
        <w:rPr>
          <w:sz w:val="24"/>
          <w:szCs w:val="24"/>
        </w:rPr>
        <w:t>2</w:t>
      </w:r>
      <w:r w:rsidRPr="009D76C4">
        <w:rPr>
          <w:sz w:val="24"/>
          <w:szCs w:val="24"/>
        </w:rPr>
        <w:t xml:space="preserve"> and one in 202</w:t>
      </w:r>
      <w:r w:rsidR="00A2029F">
        <w:rPr>
          <w:sz w:val="24"/>
          <w:szCs w:val="24"/>
        </w:rPr>
        <w:t>3</w:t>
      </w:r>
      <w:r w:rsidRPr="009D76C4">
        <w:rPr>
          <w:sz w:val="24"/>
          <w:szCs w:val="24"/>
        </w:rPr>
        <w:t xml:space="preserve"> and will prepare reports on findings for review and approval by the Auditor General. The DLIs/PBCs for 202</w:t>
      </w:r>
      <w:r w:rsidR="00A2029F">
        <w:rPr>
          <w:sz w:val="24"/>
          <w:szCs w:val="24"/>
        </w:rPr>
        <w:t>2</w:t>
      </w:r>
      <w:r w:rsidRPr="009D76C4">
        <w:rPr>
          <w:sz w:val="24"/>
          <w:szCs w:val="24"/>
        </w:rPr>
        <w:t xml:space="preserve">, together with verification protocols, are included in </w:t>
      </w:r>
      <w:r w:rsidR="00B0081B">
        <w:rPr>
          <w:sz w:val="24"/>
          <w:szCs w:val="24"/>
        </w:rPr>
        <w:t xml:space="preserve">this </w:t>
      </w:r>
      <w:r w:rsidR="00A2029F">
        <w:rPr>
          <w:sz w:val="24"/>
          <w:szCs w:val="24"/>
        </w:rPr>
        <w:t>TOR</w:t>
      </w:r>
      <w:r w:rsidRPr="009D76C4">
        <w:rPr>
          <w:sz w:val="24"/>
          <w:szCs w:val="24"/>
        </w:rPr>
        <w:t xml:space="preserve">. </w:t>
      </w:r>
    </w:p>
    <w:p w14:paraId="2749979D" w14:textId="77777777" w:rsidR="009D76C4" w:rsidRPr="009D76C4" w:rsidRDefault="009D76C4" w:rsidP="00D974DB">
      <w:pPr>
        <w:numPr>
          <w:ilvl w:val="2"/>
          <w:numId w:val="1"/>
        </w:numPr>
        <w:spacing w:after="120"/>
        <w:jc w:val="both"/>
        <w:rPr>
          <w:sz w:val="24"/>
          <w:szCs w:val="24"/>
        </w:rPr>
      </w:pPr>
      <w:r w:rsidRPr="009D76C4">
        <w:rPr>
          <w:sz w:val="24"/>
          <w:szCs w:val="24"/>
        </w:rPr>
        <w:t>The work will be carried out primarily on-site at ministries of the FGS in Mogadishu, but with some travel to FMS administrative centers as needed. The need for travel outside of Mogadishu can be understood from the verification protocols</w:t>
      </w:r>
    </w:p>
    <w:p w14:paraId="4D4A319C" w14:textId="01B04FD5" w:rsidR="009D76C4" w:rsidRDefault="009D76C4" w:rsidP="00D974DB">
      <w:pPr>
        <w:numPr>
          <w:ilvl w:val="2"/>
          <w:numId w:val="1"/>
        </w:numPr>
        <w:spacing w:after="120"/>
        <w:jc w:val="both"/>
        <w:rPr>
          <w:sz w:val="24"/>
          <w:szCs w:val="24"/>
        </w:rPr>
      </w:pPr>
      <w:r w:rsidRPr="009D76C4">
        <w:rPr>
          <w:sz w:val="24"/>
          <w:szCs w:val="24"/>
        </w:rPr>
        <w:t xml:space="preserve">Document both evidences collected and procedures performed (collectively referred to as Working Papers) in a manner such that an independent third party, with knowledge of the DLI/PBC subject matter as well as the DLI/PBC verification approach prescribed under World Bank financing, can review and understand the conclusions reached. </w:t>
      </w:r>
    </w:p>
    <w:p w14:paraId="63F34C29" w14:textId="43C28E1A" w:rsidR="00D674EA" w:rsidRDefault="00D674EA" w:rsidP="00D974DB">
      <w:pPr>
        <w:numPr>
          <w:ilvl w:val="2"/>
          <w:numId w:val="1"/>
        </w:numPr>
        <w:spacing w:after="120"/>
        <w:jc w:val="both"/>
        <w:rPr>
          <w:sz w:val="24"/>
          <w:szCs w:val="24"/>
        </w:rPr>
      </w:pPr>
      <w:r>
        <w:rPr>
          <w:sz w:val="24"/>
          <w:szCs w:val="24"/>
        </w:rPr>
        <w:t>Recommend areas of policy/system and procedures improvement on the gaps that have been noted during the verification activities/cycles</w:t>
      </w:r>
    </w:p>
    <w:p w14:paraId="69336E63" w14:textId="77777777" w:rsidR="00A2029F" w:rsidRPr="009D76C4" w:rsidRDefault="00A2029F" w:rsidP="00A2029F">
      <w:pPr>
        <w:spacing w:after="120"/>
        <w:ind w:left="1080"/>
        <w:jc w:val="both"/>
        <w:rPr>
          <w:sz w:val="24"/>
          <w:szCs w:val="24"/>
        </w:rPr>
      </w:pPr>
    </w:p>
    <w:p w14:paraId="325E03C4" w14:textId="77777777" w:rsidR="009D76C4" w:rsidRPr="009D76C4" w:rsidRDefault="009D76C4" w:rsidP="00D974DB">
      <w:pPr>
        <w:numPr>
          <w:ilvl w:val="0"/>
          <w:numId w:val="1"/>
        </w:numPr>
        <w:spacing w:after="120"/>
        <w:jc w:val="both"/>
        <w:rPr>
          <w:b/>
          <w:sz w:val="24"/>
          <w:szCs w:val="24"/>
        </w:rPr>
      </w:pPr>
      <w:r w:rsidRPr="009D76C4">
        <w:rPr>
          <w:b/>
          <w:sz w:val="24"/>
          <w:szCs w:val="24"/>
        </w:rPr>
        <w:t xml:space="preserve">Level of effort </w:t>
      </w:r>
    </w:p>
    <w:p w14:paraId="5BC344BA" w14:textId="139754D4" w:rsidR="009D76C4" w:rsidRPr="00A2029F" w:rsidRDefault="009D76C4" w:rsidP="00D974DB">
      <w:pPr>
        <w:numPr>
          <w:ilvl w:val="1"/>
          <w:numId w:val="1"/>
        </w:numPr>
        <w:spacing w:after="120"/>
        <w:jc w:val="both"/>
        <w:rPr>
          <w:sz w:val="24"/>
          <w:szCs w:val="24"/>
        </w:rPr>
      </w:pPr>
      <w:r w:rsidRPr="00A2029F">
        <w:rPr>
          <w:sz w:val="24"/>
          <w:szCs w:val="24"/>
        </w:rPr>
        <w:t xml:space="preserve">The </w:t>
      </w:r>
      <w:r w:rsidR="00B0081B" w:rsidRPr="00A2029F">
        <w:rPr>
          <w:sz w:val="24"/>
          <w:szCs w:val="24"/>
        </w:rPr>
        <w:t>days’</w:t>
      </w:r>
      <w:r w:rsidRPr="00A2029F">
        <w:rPr>
          <w:sz w:val="24"/>
          <w:szCs w:val="24"/>
        </w:rPr>
        <w:t xml:space="preserve"> input required for the IVA is estimated as follows:</w:t>
      </w:r>
    </w:p>
    <w:tbl>
      <w:tblPr>
        <w:tblStyle w:val="TableGrid11"/>
        <w:tblW w:w="0" w:type="auto"/>
        <w:tblInd w:w="805" w:type="dxa"/>
        <w:tblLook w:val="04A0" w:firstRow="1" w:lastRow="0" w:firstColumn="1" w:lastColumn="0" w:noHBand="0" w:noVBand="1"/>
      </w:tblPr>
      <w:tblGrid>
        <w:gridCol w:w="1980"/>
        <w:gridCol w:w="1376"/>
        <w:gridCol w:w="1530"/>
        <w:gridCol w:w="2070"/>
      </w:tblGrid>
      <w:tr w:rsidR="00A2029F" w:rsidRPr="00A2029F" w14:paraId="3A2C2A6C" w14:textId="77777777" w:rsidTr="00A2029F">
        <w:tc>
          <w:tcPr>
            <w:tcW w:w="1980" w:type="dxa"/>
          </w:tcPr>
          <w:p w14:paraId="6D307B32" w14:textId="77777777" w:rsidR="00A2029F" w:rsidRPr="00A2029F" w:rsidRDefault="00A2029F" w:rsidP="009D76C4">
            <w:pPr>
              <w:rPr>
                <w:rFonts w:eastAsia="Calibri"/>
                <w:color w:val="000000"/>
                <w:sz w:val="24"/>
                <w:szCs w:val="24"/>
              </w:rPr>
            </w:pPr>
          </w:p>
        </w:tc>
        <w:tc>
          <w:tcPr>
            <w:tcW w:w="1376" w:type="dxa"/>
          </w:tcPr>
          <w:p w14:paraId="77F30F04" w14:textId="5FFE2D9A" w:rsidR="00A2029F" w:rsidRPr="00A2029F" w:rsidRDefault="00A2029F" w:rsidP="009D76C4">
            <w:pPr>
              <w:jc w:val="center"/>
              <w:rPr>
                <w:rFonts w:eastAsia="Calibri"/>
                <w:color w:val="000000"/>
                <w:sz w:val="24"/>
                <w:szCs w:val="24"/>
              </w:rPr>
            </w:pPr>
            <w:r w:rsidRPr="00A2029F">
              <w:rPr>
                <w:rFonts w:eastAsia="Calibri"/>
                <w:color w:val="000000"/>
                <w:sz w:val="24"/>
                <w:szCs w:val="24"/>
              </w:rPr>
              <w:t>Aug.-Sept. 202</w:t>
            </w:r>
            <w:r>
              <w:rPr>
                <w:rFonts w:eastAsia="Calibri"/>
                <w:color w:val="000000"/>
                <w:sz w:val="24"/>
                <w:szCs w:val="24"/>
              </w:rPr>
              <w:t>2</w:t>
            </w:r>
          </w:p>
          <w:p w14:paraId="42941559" w14:textId="180D2FF8" w:rsidR="00A2029F" w:rsidRPr="00A2029F" w:rsidRDefault="00A2029F" w:rsidP="009D76C4">
            <w:pPr>
              <w:rPr>
                <w:rFonts w:eastAsia="Calibri"/>
                <w:color w:val="000000"/>
                <w:sz w:val="24"/>
                <w:szCs w:val="24"/>
                <w:highlight w:val="yellow"/>
              </w:rPr>
            </w:pPr>
            <w:r w:rsidRPr="00A2029F">
              <w:rPr>
                <w:rFonts w:eastAsia="Calibri"/>
                <w:color w:val="000000"/>
                <w:sz w:val="24"/>
                <w:szCs w:val="24"/>
              </w:rPr>
              <w:t>Verification</w:t>
            </w:r>
          </w:p>
        </w:tc>
        <w:tc>
          <w:tcPr>
            <w:tcW w:w="1530" w:type="dxa"/>
          </w:tcPr>
          <w:p w14:paraId="08477C4C" w14:textId="2E169722" w:rsidR="00A2029F" w:rsidRPr="00A2029F" w:rsidRDefault="003370C6" w:rsidP="003370C6">
            <w:pPr>
              <w:jc w:val="center"/>
              <w:rPr>
                <w:rFonts w:eastAsia="Calibri"/>
                <w:color w:val="000000"/>
                <w:sz w:val="24"/>
                <w:szCs w:val="24"/>
              </w:rPr>
            </w:pPr>
            <w:r>
              <w:rPr>
                <w:rFonts w:eastAsia="Calibri"/>
                <w:color w:val="000000"/>
                <w:sz w:val="24"/>
                <w:szCs w:val="24"/>
              </w:rPr>
              <w:t>Feb. - Mar</w:t>
            </w:r>
            <w:r w:rsidR="00A2029F" w:rsidRPr="00A2029F">
              <w:rPr>
                <w:rFonts w:eastAsia="Calibri"/>
                <w:color w:val="000000"/>
                <w:sz w:val="24"/>
                <w:szCs w:val="24"/>
              </w:rPr>
              <w:t>. 202</w:t>
            </w:r>
            <w:r>
              <w:rPr>
                <w:rFonts w:eastAsia="Calibri"/>
                <w:color w:val="000000"/>
                <w:sz w:val="24"/>
                <w:szCs w:val="24"/>
              </w:rPr>
              <w:t>3</w:t>
            </w:r>
          </w:p>
          <w:p w14:paraId="397822DC" w14:textId="64C1EB34" w:rsidR="00A2029F" w:rsidRPr="00A2029F" w:rsidRDefault="003370C6" w:rsidP="003370C6">
            <w:pPr>
              <w:jc w:val="center"/>
              <w:rPr>
                <w:rFonts w:eastAsia="Calibri"/>
                <w:color w:val="000000"/>
                <w:sz w:val="24"/>
                <w:szCs w:val="24"/>
                <w:highlight w:val="yellow"/>
              </w:rPr>
            </w:pPr>
            <w:r>
              <w:rPr>
                <w:rFonts w:eastAsia="Calibri"/>
                <w:color w:val="000000"/>
                <w:sz w:val="24"/>
                <w:szCs w:val="24"/>
              </w:rPr>
              <w:t>V</w:t>
            </w:r>
            <w:r w:rsidR="00A2029F" w:rsidRPr="00A2029F">
              <w:rPr>
                <w:rFonts w:eastAsia="Calibri"/>
                <w:color w:val="000000"/>
                <w:sz w:val="24"/>
                <w:szCs w:val="24"/>
              </w:rPr>
              <w:t>erification</w:t>
            </w:r>
          </w:p>
        </w:tc>
        <w:tc>
          <w:tcPr>
            <w:tcW w:w="2070" w:type="dxa"/>
          </w:tcPr>
          <w:p w14:paraId="50DE350D" w14:textId="5D8F9204" w:rsidR="00A2029F" w:rsidRPr="00A2029F" w:rsidRDefault="00A2029F" w:rsidP="009D76C4">
            <w:pPr>
              <w:rPr>
                <w:rFonts w:eastAsia="Calibri"/>
                <w:color w:val="000000"/>
                <w:sz w:val="24"/>
                <w:szCs w:val="24"/>
              </w:rPr>
            </w:pPr>
            <w:r w:rsidRPr="00A2029F">
              <w:rPr>
                <w:rFonts w:eastAsia="Calibri"/>
                <w:color w:val="000000"/>
                <w:sz w:val="24"/>
                <w:szCs w:val="24"/>
              </w:rPr>
              <w:t>202</w:t>
            </w:r>
            <w:r w:rsidR="003370C6">
              <w:rPr>
                <w:rFonts w:eastAsia="Calibri"/>
                <w:color w:val="000000"/>
                <w:sz w:val="24"/>
                <w:szCs w:val="24"/>
              </w:rPr>
              <w:t>2</w:t>
            </w:r>
            <w:r w:rsidRPr="00A2029F">
              <w:rPr>
                <w:rFonts w:eastAsia="Calibri"/>
                <w:color w:val="000000"/>
                <w:sz w:val="24"/>
                <w:szCs w:val="24"/>
              </w:rPr>
              <w:t xml:space="preserve"> + 202</w:t>
            </w:r>
            <w:r w:rsidR="003370C6">
              <w:rPr>
                <w:rFonts w:eastAsia="Calibri"/>
                <w:color w:val="000000"/>
                <w:sz w:val="24"/>
                <w:szCs w:val="24"/>
              </w:rPr>
              <w:t>3</w:t>
            </w:r>
          </w:p>
          <w:p w14:paraId="77A61979" w14:textId="421E96EA" w:rsidR="00A2029F" w:rsidRPr="00A2029F" w:rsidRDefault="00A2029F" w:rsidP="003370C6">
            <w:pPr>
              <w:rPr>
                <w:rFonts w:eastAsia="Calibri"/>
                <w:color w:val="000000"/>
                <w:sz w:val="24"/>
                <w:szCs w:val="24"/>
                <w:highlight w:val="yellow"/>
              </w:rPr>
            </w:pPr>
            <w:r w:rsidRPr="00A2029F">
              <w:rPr>
                <w:rFonts w:eastAsia="Calibri"/>
                <w:color w:val="000000"/>
                <w:sz w:val="24"/>
                <w:szCs w:val="24"/>
              </w:rPr>
              <w:t xml:space="preserve">2 </w:t>
            </w:r>
            <w:r w:rsidR="003370C6">
              <w:rPr>
                <w:rFonts w:eastAsia="Calibri"/>
                <w:color w:val="000000"/>
                <w:sz w:val="24"/>
                <w:szCs w:val="24"/>
              </w:rPr>
              <w:t xml:space="preserve">cycle of </w:t>
            </w:r>
            <w:r w:rsidRPr="00A2029F">
              <w:rPr>
                <w:rFonts w:eastAsia="Calibri"/>
                <w:color w:val="000000"/>
                <w:sz w:val="24"/>
                <w:szCs w:val="24"/>
              </w:rPr>
              <w:t xml:space="preserve">verifications </w:t>
            </w:r>
          </w:p>
        </w:tc>
      </w:tr>
      <w:tr w:rsidR="00A2029F" w:rsidRPr="00A2029F" w14:paraId="27E163E6" w14:textId="77777777" w:rsidTr="00A2029F">
        <w:tc>
          <w:tcPr>
            <w:tcW w:w="1980" w:type="dxa"/>
          </w:tcPr>
          <w:p w14:paraId="4B6447A0" w14:textId="77777777" w:rsidR="00A2029F" w:rsidRPr="00A2029F" w:rsidRDefault="00A2029F" w:rsidP="009D76C4">
            <w:pPr>
              <w:rPr>
                <w:rFonts w:eastAsia="Calibri"/>
                <w:color w:val="000000"/>
                <w:sz w:val="24"/>
                <w:szCs w:val="24"/>
              </w:rPr>
            </w:pPr>
            <w:r w:rsidRPr="00A2029F">
              <w:rPr>
                <w:rFonts w:eastAsia="Calibri"/>
                <w:color w:val="000000"/>
                <w:sz w:val="24"/>
                <w:szCs w:val="24"/>
              </w:rPr>
              <w:t>Estimated days input (RCRF II &amp; III)</w:t>
            </w:r>
          </w:p>
        </w:tc>
        <w:tc>
          <w:tcPr>
            <w:tcW w:w="1376" w:type="dxa"/>
          </w:tcPr>
          <w:p w14:paraId="611CAF85" w14:textId="77777777" w:rsidR="00A2029F" w:rsidRPr="00A2029F" w:rsidRDefault="00A2029F" w:rsidP="009D76C4">
            <w:pPr>
              <w:jc w:val="center"/>
              <w:rPr>
                <w:rFonts w:eastAsia="Calibri"/>
                <w:color w:val="000000"/>
                <w:sz w:val="24"/>
                <w:szCs w:val="24"/>
              </w:rPr>
            </w:pPr>
            <w:r w:rsidRPr="00A2029F">
              <w:rPr>
                <w:rFonts w:eastAsia="Calibri"/>
                <w:color w:val="000000"/>
                <w:sz w:val="24"/>
                <w:szCs w:val="24"/>
              </w:rPr>
              <w:t>30</w:t>
            </w:r>
          </w:p>
        </w:tc>
        <w:tc>
          <w:tcPr>
            <w:tcW w:w="1530" w:type="dxa"/>
          </w:tcPr>
          <w:p w14:paraId="56BC21A5" w14:textId="77777777" w:rsidR="00A2029F" w:rsidRPr="00A2029F" w:rsidRDefault="00A2029F" w:rsidP="009D76C4">
            <w:pPr>
              <w:jc w:val="center"/>
              <w:rPr>
                <w:rFonts w:eastAsia="Calibri"/>
                <w:color w:val="000000"/>
                <w:sz w:val="24"/>
                <w:szCs w:val="24"/>
              </w:rPr>
            </w:pPr>
            <w:r w:rsidRPr="00A2029F">
              <w:rPr>
                <w:rFonts w:eastAsia="Calibri"/>
                <w:color w:val="000000"/>
                <w:sz w:val="24"/>
                <w:szCs w:val="24"/>
              </w:rPr>
              <w:t>30</w:t>
            </w:r>
          </w:p>
        </w:tc>
        <w:tc>
          <w:tcPr>
            <w:tcW w:w="2070" w:type="dxa"/>
          </w:tcPr>
          <w:p w14:paraId="0A638B3D" w14:textId="77777777" w:rsidR="00A2029F" w:rsidRPr="00A2029F" w:rsidRDefault="00A2029F" w:rsidP="009D76C4">
            <w:pPr>
              <w:rPr>
                <w:rFonts w:eastAsia="Calibri"/>
                <w:color w:val="000000"/>
                <w:sz w:val="24"/>
                <w:szCs w:val="24"/>
              </w:rPr>
            </w:pPr>
            <w:r w:rsidRPr="00A2029F">
              <w:rPr>
                <w:rFonts w:eastAsia="Calibri"/>
                <w:color w:val="000000"/>
                <w:sz w:val="24"/>
                <w:szCs w:val="24"/>
              </w:rPr>
              <w:t xml:space="preserve">        60</w:t>
            </w:r>
          </w:p>
        </w:tc>
      </w:tr>
    </w:tbl>
    <w:p w14:paraId="0CC24600" w14:textId="77777777" w:rsidR="009D76C4" w:rsidRPr="009D76C4" w:rsidRDefault="009D76C4" w:rsidP="009D76C4">
      <w:pPr>
        <w:spacing w:after="120"/>
        <w:jc w:val="both"/>
        <w:rPr>
          <w:sz w:val="24"/>
          <w:szCs w:val="24"/>
        </w:rPr>
      </w:pPr>
    </w:p>
    <w:p w14:paraId="14042081" w14:textId="77777777" w:rsidR="009D76C4" w:rsidRPr="003D120E" w:rsidRDefault="009D76C4" w:rsidP="00D974DB">
      <w:pPr>
        <w:numPr>
          <w:ilvl w:val="0"/>
          <w:numId w:val="1"/>
        </w:numPr>
        <w:spacing w:after="120"/>
        <w:jc w:val="both"/>
        <w:rPr>
          <w:b/>
          <w:sz w:val="24"/>
          <w:szCs w:val="24"/>
        </w:rPr>
      </w:pPr>
      <w:r w:rsidRPr="003D120E">
        <w:rPr>
          <w:b/>
          <w:sz w:val="24"/>
          <w:szCs w:val="24"/>
        </w:rPr>
        <w:t>Reporting</w:t>
      </w:r>
    </w:p>
    <w:p w14:paraId="7D5FB8AC" w14:textId="77777777" w:rsidR="009D76C4" w:rsidRPr="009D76C4" w:rsidRDefault="009D76C4" w:rsidP="00D974DB">
      <w:pPr>
        <w:numPr>
          <w:ilvl w:val="1"/>
          <w:numId w:val="1"/>
        </w:numPr>
        <w:spacing w:after="120"/>
        <w:jc w:val="both"/>
        <w:rPr>
          <w:sz w:val="24"/>
          <w:szCs w:val="24"/>
        </w:rPr>
      </w:pPr>
      <w:r w:rsidRPr="009D76C4">
        <w:rPr>
          <w:sz w:val="24"/>
          <w:szCs w:val="24"/>
        </w:rPr>
        <w:t>The TA primarily reports to the Auditor General. Written reports to be delivered are:</w:t>
      </w:r>
    </w:p>
    <w:p w14:paraId="5C3C8715" w14:textId="77777777" w:rsidR="009D76C4" w:rsidRPr="009D76C4" w:rsidRDefault="009D76C4" w:rsidP="00D974DB">
      <w:pPr>
        <w:numPr>
          <w:ilvl w:val="2"/>
          <w:numId w:val="1"/>
        </w:numPr>
        <w:spacing w:after="120"/>
        <w:jc w:val="both"/>
        <w:rPr>
          <w:sz w:val="24"/>
          <w:szCs w:val="24"/>
        </w:rPr>
      </w:pPr>
      <w:r w:rsidRPr="009D76C4">
        <w:rPr>
          <w:sz w:val="24"/>
          <w:szCs w:val="24"/>
        </w:rPr>
        <w:t xml:space="preserve">Verification plans for each cycle, including timing, roles, and approach </w:t>
      </w:r>
    </w:p>
    <w:p w14:paraId="1917205A" w14:textId="77777777" w:rsidR="009D76C4" w:rsidRPr="009D76C4" w:rsidRDefault="009D76C4" w:rsidP="00D974DB">
      <w:pPr>
        <w:numPr>
          <w:ilvl w:val="2"/>
          <w:numId w:val="1"/>
        </w:numPr>
        <w:spacing w:after="120"/>
        <w:jc w:val="both"/>
        <w:rPr>
          <w:sz w:val="24"/>
          <w:szCs w:val="24"/>
        </w:rPr>
      </w:pPr>
      <w:r w:rsidRPr="003D120E">
        <w:rPr>
          <w:sz w:val="24"/>
          <w:szCs w:val="24"/>
        </w:rPr>
        <w:t>Draft verification reports</w:t>
      </w:r>
      <w:r w:rsidRPr="009D76C4">
        <w:rPr>
          <w:sz w:val="24"/>
          <w:szCs w:val="24"/>
        </w:rPr>
        <w:t xml:space="preserve"> (ready for approval and delivery contingent upon approval of the Auditor General) are to be </w:t>
      </w:r>
      <w:r w:rsidRPr="009D76C4">
        <w:rPr>
          <w:sz w:val="24"/>
          <w:szCs w:val="24"/>
          <w:lang w:val="en-GB"/>
        </w:rPr>
        <w:t xml:space="preserve">submitted to the Auditor General within </w:t>
      </w:r>
      <w:r w:rsidRPr="003D120E">
        <w:rPr>
          <w:sz w:val="24"/>
          <w:szCs w:val="24"/>
          <w:lang w:val="en-GB"/>
        </w:rPr>
        <w:t>21 calendar days of receiving a data/documentation package</w:t>
      </w:r>
      <w:r w:rsidRPr="009D76C4">
        <w:rPr>
          <w:sz w:val="24"/>
          <w:szCs w:val="24"/>
          <w:lang w:val="en-GB"/>
        </w:rPr>
        <w:t xml:space="preserve"> for review from the Ministry of Finance. </w:t>
      </w:r>
      <w:r w:rsidRPr="009D76C4">
        <w:rPr>
          <w:sz w:val="24"/>
          <w:szCs w:val="24"/>
        </w:rPr>
        <w:t>Each report will:</w:t>
      </w:r>
    </w:p>
    <w:p w14:paraId="2740C981" w14:textId="77777777" w:rsidR="009D76C4" w:rsidRPr="009D76C4" w:rsidRDefault="009D76C4" w:rsidP="00D974DB">
      <w:pPr>
        <w:numPr>
          <w:ilvl w:val="3"/>
          <w:numId w:val="3"/>
        </w:numPr>
        <w:spacing w:after="120"/>
        <w:jc w:val="both"/>
        <w:rPr>
          <w:sz w:val="24"/>
          <w:szCs w:val="24"/>
        </w:rPr>
      </w:pPr>
      <w:r w:rsidRPr="009D76C4">
        <w:rPr>
          <w:sz w:val="24"/>
          <w:szCs w:val="24"/>
        </w:rPr>
        <w:t>For eligible expenditures and each DLI/PBC, state whether the  DLI/PBC have been achieved or not or whether the IVA TA was unable to reach a conclusion on the achievement of results</w:t>
      </w:r>
    </w:p>
    <w:p w14:paraId="7B7F252A" w14:textId="77777777" w:rsidR="009D76C4" w:rsidRPr="009D76C4" w:rsidRDefault="009D76C4" w:rsidP="00D974DB">
      <w:pPr>
        <w:numPr>
          <w:ilvl w:val="3"/>
          <w:numId w:val="3"/>
        </w:numPr>
        <w:spacing w:after="120"/>
        <w:jc w:val="both"/>
        <w:rPr>
          <w:sz w:val="24"/>
          <w:szCs w:val="24"/>
        </w:rPr>
      </w:pPr>
      <w:r w:rsidRPr="009D76C4">
        <w:rPr>
          <w:sz w:val="24"/>
          <w:szCs w:val="24"/>
        </w:rPr>
        <w:t>Describe the methodology and tasks undertaken by the IVA TA in verifying the DLI/PBC.</w:t>
      </w:r>
      <w:r w:rsidRPr="009D76C4" w:rsidDel="001041BB">
        <w:rPr>
          <w:sz w:val="24"/>
          <w:szCs w:val="24"/>
        </w:rPr>
        <w:t xml:space="preserve"> </w:t>
      </w:r>
    </w:p>
    <w:p w14:paraId="57C1AB27" w14:textId="6EFE1E02" w:rsidR="009D76C4" w:rsidRPr="009D76C4" w:rsidRDefault="009D76C4" w:rsidP="00D974DB">
      <w:pPr>
        <w:numPr>
          <w:ilvl w:val="3"/>
          <w:numId w:val="3"/>
        </w:numPr>
        <w:spacing w:after="120"/>
        <w:jc w:val="both"/>
        <w:rPr>
          <w:sz w:val="24"/>
          <w:szCs w:val="24"/>
        </w:rPr>
      </w:pPr>
      <w:r w:rsidRPr="009D76C4">
        <w:rPr>
          <w:sz w:val="24"/>
          <w:szCs w:val="24"/>
        </w:rPr>
        <w:t>Confirm eligible expenditures</w:t>
      </w:r>
      <w:r w:rsidR="00487301">
        <w:rPr>
          <w:sz w:val="24"/>
          <w:szCs w:val="24"/>
        </w:rPr>
        <w:t xml:space="preserve"> under the EEP program</w:t>
      </w:r>
      <w:r w:rsidRPr="009D76C4">
        <w:rPr>
          <w:sz w:val="24"/>
          <w:szCs w:val="24"/>
        </w:rPr>
        <w:t xml:space="preserve"> and application of DLI/PBC protocols </w:t>
      </w:r>
      <w:r w:rsidR="00441799">
        <w:rPr>
          <w:sz w:val="24"/>
          <w:szCs w:val="24"/>
        </w:rPr>
        <w:t xml:space="preserve">as </w:t>
      </w:r>
      <w:r w:rsidRPr="009D76C4">
        <w:rPr>
          <w:sz w:val="24"/>
          <w:szCs w:val="24"/>
        </w:rPr>
        <w:t xml:space="preserve">defined in the RCRF Project Operations Manual </w:t>
      </w:r>
      <w:r w:rsidR="00441799">
        <w:rPr>
          <w:sz w:val="24"/>
          <w:szCs w:val="24"/>
        </w:rPr>
        <w:t>and</w:t>
      </w:r>
      <w:r w:rsidR="00487301">
        <w:rPr>
          <w:sz w:val="24"/>
          <w:szCs w:val="24"/>
        </w:rPr>
        <w:t xml:space="preserve"> clause 33 of</w:t>
      </w:r>
      <w:r w:rsidR="00441799">
        <w:rPr>
          <w:sz w:val="24"/>
          <w:szCs w:val="24"/>
        </w:rPr>
        <w:t xml:space="preserve"> the Project Paper </w:t>
      </w:r>
    </w:p>
    <w:p w14:paraId="3BCFCA6A" w14:textId="77777777" w:rsidR="009D76C4" w:rsidRPr="009D76C4" w:rsidRDefault="009D76C4" w:rsidP="00D974DB">
      <w:pPr>
        <w:numPr>
          <w:ilvl w:val="3"/>
          <w:numId w:val="3"/>
        </w:numPr>
        <w:spacing w:after="120"/>
        <w:jc w:val="both"/>
        <w:rPr>
          <w:sz w:val="24"/>
          <w:szCs w:val="24"/>
        </w:rPr>
      </w:pPr>
      <w:r w:rsidRPr="009D76C4">
        <w:rPr>
          <w:sz w:val="24"/>
          <w:szCs w:val="24"/>
        </w:rPr>
        <w:t>State whether the value of the EEP value at the time of the IVA report and state whether this exceeds or is less than the total values assigned to all DLI/PBC found achieved, and by how much</w:t>
      </w:r>
    </w:p>
    <w:p w14:paraId="2D9516C8" w14:textId="77777777" w:rsidR="009D76C4" w:rsidRPr="009D76C4" w:rsidRDefault="009D76C4" w:rsidP="00D974DB">
      <w:pPr>
        <w:numPr>
          <w:ilvl w:val="3"/>
          <w:numId w:val="3"/>
        </w:numPr>
        <w:spacing w:after="120"/>
        <w:jc w:val="both"/>
        <w:rPr>
          <w:sz w:val="24"/>
          <w:szCs w:val="24"/>
        </w:rPr>
      </w:pPr>
      <w:r w:rsidRPr="009D76C4">
        <w:rPr>
          <w:sz w:val="24"/>
          <w:szCs w:val="24"/>
        </w:rPr>
        <w:t>State the amount of dollars that the Government should claim to be disbursed under the Project with respect to achieving the DLI/PBC</w:t>
      </w:r>
    </w:p>
    <w:p w14:paraId="4B97BB11" w14:textId="77777777" w:rsidR="009D76C4" w:rsidRPr="009D76C4" w:rsidRDefault="009D76C4" w:rsidP="00D974DB">
      <w:pPr>
        <w:numPr>
          <w:ilvl w:val="3"/>
          <w:numId w:val="3"/>
        </w:numPr>
        <w:spacing w:after="120"/>
        <w:jc w:val="both"/>
        <w:rPr>
          <w:sz w:val="24"/>
          <w:szCs w:val="24"/>
        </w:rPr>
      </w:pPr>
      <w:r w:rsidRPr="009D76C4">
        <w:rPr>
          <w:sz w:val="24"/>
          <w:szCs w:val="24"/>
        </w:rPr>
        <w:t xml:space="preserve">Include a statement of any outstanding issues, and the responsibilities, timelines and documentation of the process of resolving any issues </w:t>
      </w:r>
    </w:p>
    <w:p w14:paraId="16F04ECC" w14:textId="77777777" w:rsidR="009D76C4" w:rsidRPr="009D76C4" w:rsidRDefault="009D76C4" w:rsidP="00D974DB">
      <w:pPr>
        <w:numPr>
          <w:ilvl w:val="2"/>
          <w:numId w:val="1"/>
        </w:numPr>
        <w:spacing w:after="120"/>
        <w:jc w:val="both"/>
        <w:rPr>
          <w:sz w:val="24"/>
          <w:szCs w:val="24"/>
        </w:rPr>
      </w:pPr>
      <w:r w:rsidRPr="009D76C4">
        <w:rPr>
          <w:sz w:val="24"/>
          <w:szCs w:val="24"/>
        </w:rPr>
        <w:t>Memoranda on significant issues including on disagreements with individuals in Government with respect to the work or impediments to performing the work</w:t>
      </w:r>
    </w:p>
    <w:p w14:paraId="1C0BB6DD" w14:textId="11DC779A" w:rsidR="009D76C4" w:rsidRPr="009D76C4" w:rsidRDefault="009D76C4" w:rsidP="00D974DB">
      <w:pPr>
        <w:numPr>
          <w:ilvl w:val="2"/>
          <w:numId w:val="1"/>
        </w:numPr>
        <w:spacing w:after="120"/>
        <w:jc w:val="both"/>
        <w:rPr>
          <w:sz w:val="24"/>
          <w:szCs w:val="24"/>
        </w:rPr>
      </w:pPr>
      <w:r w:rsidRPr="009D76C4">
        <w:rPr>
          <w:sz w:val="24"/>
          <w:szCs w:val="24"/>
        </w:rPr>
        <w:t xml:space="preserve">Working paper files, which will be made available electronically, in whole, to the Auditor General. Such working papers will provide sufficient detail of evidence gathered, procedures performed, and judgements made to enable independent scrutiny; </w:t>
      </w:r>
      <w:r w:rsidR="00F04078" w:rsidRPr="009D76C4">
        <w:rPr>
          <w:sz w:val="24"/>
          <w:szCs w:val="24"/>
        </w:rPr>
        <w:t>i.e.,</w:t>
      </w:r>
      <w:r w:rsidRPr="009D76C4">
        <w:rPr>
          <w:sz w:val="24"/>
          <w:szCs w:val="24"/>
        </w:rPr>
        <w:t xml:space="preserve"> a professional, experienced in public sector finance and verification techniques to independently understand the conclusions reached in the verification report.  </w:t>
      </w:r>
    </w:p>
    <w:p w14:paraId="0872EC18" w14:textId="77777777" w:rsidR="009D76C4" w:rsidRPr="003D120E" w:rsidRDefault="009D76C4" w:rsidP="00D974DB">
      <w:pPr>
        <w:numPr>
          <w:ilvl w:val="2"/>
          <w:numId w:val="1"/>
        </w:numPr>
        <w:spacing w:after="120"/>
        <w:jc w:val="both"/>
        <w:rPr>
          <w:sz w:val="24"/>
          <w:szCs w:val="24"/>
        </w:rPr>
      </w:pPr>
      <w:r w:rsidRPr="003D120E">
        <w:rPr>
          <w:sz w:val="24"/>
          <w:szCs w:val="24"/>
        </w:rPr>
        <w:t>At the completion of each verification cycle, a report to the Auditor General detailing lessons learned and related recommendations.</w:t>
      </w:r>
    </w:p>
    <w:p w14:paraId="3BD803D9" w14:textId="77777777" w:rsidR="009D76C4" w:rsidRPr="009D76C4" w:rsidRDefault="009D76C4" w:rsidP="00D974DB">
      <w:pPr>
        <w:numPr>
          <w:ilvl w:val="0"/>
          <w:numId w:val="1"/>
        </w:numPr>
        <w:spacing w:after="120"/>
        <w:jc w:val="both"/>
        <w:rPr>
          <w:b/>
          <w:sz w:val="24"/>
          <w:szCs w:val="24"/>
        </w:rPr>
      </w:pPr>
      <w:r w:rsidRPr="009D76C4">
        <w:rPr>
          <w:b/>
          <w:sz w:val="24"/>
          <w:szCs w:val="24"/>
        </w:rPr>
        <w:t>Team</w:t>
      </w:r>
    </w:p>
    <w:p w14:paraId="69187F56" w14:textId="77777777" w:rsidR="009D76C4" w:rsidRPr="009D76C4" w:rsidRDefault="009D76C4" w:rsidP="00D974DB">
      <w:pPr>
        <w:numPr>
          <w:ilvl w:val="1"/>
          <w:numId w:val="1"/>
        </w:numPr>
        <w:spacing w:after="120"/>
        <w:jc w:val="both"/>
        <w:rPr>
          <w:sz w:val="24"/>
          <w:szCs w:val="24"/>
        </w:rPr>
      </w:pPr>
      <w:r w:rsidRPr="009D76C4">
        <w:rPr>
          <w:sz w:val="24"/>
          <w:szCs w:val="24"/>
        </w:rPr>
        <w:lastRenderedPageBreak/>
        <w:t>Size of the team must be sufficient to provide the competencies required, to ensure quality and to recognize safeguards to independence.</w:t>
      </w:r>
    </w:p>
    <w:p w14:paraId="6BD9E879" w14:textId="77777777" w:rsidR="009D76C4" w:rsidRPr="009D76C4" w:rsidRDefault="009D76C4" w:rsidP="00D974DB">
      <w:pPr>
        <w:numPr>
          <w:ilvl w:val="1"/>
          <w:numId w:val="1"/>
        </w:numPr>
        <w:spacing w:after="120"/>
        <w:jc w:val="both"/>
        <w:rPr>
          <w:sz w:val="24"/>
          <w:szCs w:val="24"/>
        </w:rPr>
      </w:pPr>
      <w:r w:rsidRPr="009D76C4">
        <w:rPr>
          <w:sz w:val="24"/>
          <w:szCs w:val="24"/>
        </w:rPr>
        <w:t>Competence</w:t>
      </w:r>
    </w:p>
    <w:p w14:paraId="21B848D2" w14:textId="66B6EEFC" w:rsidR="009D76C4" w:rsidRPr="009D76C4" w:rsidRDefault="009D76C4" w:rsidP="00D974DB">
      <w:pPr>
        <w:numPr>
          <w:ilvl w:val="2"/>
          <w:numId w:val="1"/>
        </w:numPr>
        <w:spacing w:after="120"/>
        <w:jc w:val="both"/>
        <w:rPr>
          <w:sz w:val="24"/>
          <w:szCs w:val="24"/>
        </w:rPr>
      </w:pPr>
      <w:r w:rsidRPr="009D76C4">
        <w:rPr>
          <w:sz w:val="24"/>
          <w:szCs w:val="24"/>
        </w:rPr>
        <w:t xml:space="preserve">Collectively, the TA should have sound knowledge of auditing, research design, evaluation techniques and social science methods, and personal abilities such as communication and writing skills, analytical capacity, creativity and receptiveness. The TA should have a sound knowledge of government organizations, programmes, and functions related to the subject matter of the audit, and may require expertise in social, physical, computer, or other sciences, as well as legal </w:t>
      </w:r>
      <w:r w:rsidR="003370C6" w:rsidRPr="009D76C4">
        <w:rPr>
          <w:sz w:val="24"/>
          <w:szCs w:val="24"/>
        </w:rPr>
        <w:t>expertise</w:t>
      </w:r>
      <w:r w:rsidR="003370C6">
        <w:rPr>
          <w:sz w:val="24"/>
          <w:szCs w:val="24"/>
        </w:rPr>
        <w:t xml:space="preserve">, </w:t>
      </w:r>
      <w:r w:rsidR="003370C6" w:rsidRPr="009D76C4">
        <w:rPr>
          <w:sz w:val="24"/>
          <w:szCs w:val="24"/>
        </w:rPr>
        <w:t>government</w:t>
      </w:r>
      <w:r w:rsidRPr="009D76C4">
        <w:rPr>
          <w:sz w:val="24"/>
          <w:szCs w:val="24"/>
        </w:rPr>
        <w:t xml:space="preserve"> organizations, programs and functions. </w:t>
      </w:r>
    </w:p>
    <w:p w14:paraId="35CE5244" w14:textId="71C76754" w:rsidR="009D76C4" w:rsidRPr="009D76C4" w:rsidRDefault="009D76C4" w:rsidP="00D974DB">
      <w:pPr>
        <w:numPr>
          <w:ilvl w:val="2"/>
          <w:numId w:val="1"/>
        </w:numPr>
        <w:spacing w:after="120"/>
        <w:jc w:val="both"/>
        <w:rPr>
          <w:sz w:val="24"/>
          <w:szCs w:val="24"/>
        </w:rPr>
      </w:pPr>
      <w:r w:rsidRPr="009D76C4">
        <w:rPr>
          <w:sz w:val="24"/>
          <w:szCs w:val="24"/>
        </w:rPr>
        <w:t xml:space="preserve">The </w:t>
      </w:r>
      <w:r w:rsidR="002D5669">
        <w:rPr>
          <w:sz w:val="24"/>
          <w:szCs w:val="24"/>
        </w:rPr>
        <w:t>T</w:t>
      </w:r>
      <w:r w:rsidRPr="009D76C4">
        <w:rPr>
          <w:sz w:val="24"/>
          <w:szCs w:val="24"/>
        </w:rPr>
        <w:t xml:space="preserve">eam </w:t>
      </w:r>
      <w:r w:rsidR="002D5669">
        <w:rPr>
          <w:sz w:val="24"/>
          <w:szCs w:val="24"/>
        </w:rPr>
        <w:t>L</w:t>
      </w:r>
      <w:r w:rsidRPr="009D76C4">
        <w:rPr>
          <w:sz w:val="24"/>
          <w:szCs w:val="24"/>
        </w:rPr>
        <w:t>eader should have a minimum of a degree in Economics, or Public Financial Management, or Finance. Additionally, should be a qualified accountant in good standing with a recognized accountancy institute which is a full member of the International Federation of Accountants (IFAC). This team leader should also have a minimum of ten (10) years’ work experience in public financial management out of which 5 years are with a Supreme Audit Institution.</w:t>
      </w:r>
    </w:p>
    <w:p w14:paraId="4736DA76" w14:textId="52A442C1" w:rsidR="009D76C4" w:rsidRPr="009D76C4" w:rsidRDefault="009D76C4" w:rsidP="00D974DB">
      <w:pPr>
        <w:numPr>
          <w:ilvl w:val="2"/>
          <w:numId w:val="1"/>
        </w:numPr>
        <w:spacing w:after="120"/>
        <w:jc w:val="both"/>
        <w:rPr>
          <w:sz w:val="24"/>
          <w:szCs w:val="24"/>
        </w:rPr>
      </w:pPr>
      <w:r w:rsidRPr="009D76C4">
        <w:rPr>
          <w:sz w:val="24"/>
          <w:szCs w:val="24"/>
        </w:rPr>
        <w:t xml:space="preserve">In addition to the Team Leader, </w:t>
      </w:r>
      <w:r w:rsidR="003370C6">
        <w:rPr>
          <w:sz w:val="24"/>
          <w:szCs w:val="24"/>
        </w:rPr>
        <w:t>there shall be a team member; the team member</w:t>
      </w:r>
      <w:r w:rsidRPr="009D76C4">
        <w:rPr>
          <w:sz w:val="24"/>
          <w:szCs w:val="24"/>
        </w:rPr>
        <w:t xml:space="preserve"> should be a qualified accountant in good standing with an accountancy institute that is full member of the International Federation of Accountants. This team member should have a minimum of ten years’ work experience, of which 3 years of working with a Supreme Audit Institution.</w:t>
      </w:r>
    </w:p>
    <w:p w14:paraId="1E67BFF4" w14:textId="77777777" w:rsidR="009D76C4" w:rsidRPr="009D76C4" w:rsidRDefault="009D76C4" w:rsidP="00D974DB">
      <w:pPr>
        <w:numPr>
          <w:ilvl w:val="0"/>
          <w:numId w:val="1"/>
        </w:numPr>
        <w:spacing w:after="120"/>
        <w:jc w:val="both"/>
        <w:rPr>
          <w:b/>
          <w:sz w:val="24"/>
          <w:szCs w:val="24"/>
        </w:rPr>
      </w:pPr>
      <w:r w:rsidRPr="009D76C4">
        <w:rPr>
          <w:b/>
          <w:sz w:val="24"/>
          <w:szCs w:val="24"/>
        </w:rPr>
        <w:t>Office of the Auditor General contributions and undertakings</w:t>
      </w:r>
    </w:p>
    <w:p w14:paraId="0D3BBA60" w14:textId="77777777" w:rsidR="009D76C4" w:rsidRPr="009D76C4" w:rsidRDefault="009D76C4" w:rsidP="00D974DB">
      <w:pPr>
        <w:numPr>
          <w:ilvl w:val="1"/>
          <w:numId w:val="1"/>
        </w:numPr>
        <w:spacing w:after="120"/>
        <w:jc w:val="both"/>
        <w:rPr>
          <w:sz w:val="24"/>
          <w:szCs w:val="24"/>
        </w:rPr>
      </w:pPr>
      <w:r w:rsidRPr="009D76C4">
        <w:rPr>
          <w:sz w:val="24"/>
          <w:szCs w:val="24"/>
        </w:rPr>
        <w:t>The OAGS will provide appropriate office space to the IVA TA, including internet access Office</w:t>
      </w:r>
    </w:p>
    <w:p w14:paraId="4769BA55" w14:textId="77777777" w:rsidR="009D76C4" w:rsidRPr="009D76C4" w:rsidRDefault="009D76C4" w:rsidP="00D974DB">
      <w:pPr>
        <w:numPr>
          <w:ilvl w:val="1"/>
          <w:numId w:val="1"/>
        </w:numPr>
        <w:spacing w:after="120"/>
        <w:jc w:val="both"/>
        <w:rPr>
          <w:sz w:val="24"/>
          <w:szCs w:val="24"/>
        </w:rPr>
      </w:pPr>
      <w:r w:rsidRPr="009D76C4">
        <w:rPr>
          <w:sz w:val="24"/>
          <w:szCs w:val="24"/>
        </w:rPr>
        <w:t>The Auditor General will provide the IVA TA with the formal and substantive mandate to undertake the verification work</w:t>
      </w:r>
    </w:p>
    <w:p w14:paraId="3E1E3754" w14:textId="77777777" w:rsidR="009D76C4" w:rsidRPr="009D76C4" w:rsidRDefault="009D76C4" w:rsidP="00D974DB">
      <w:pPr>
        <w:numPr>
          <w:ilvl w:val="0"/>
          <w:numId w:val="1"/>
        </w:numPr>
        <w:spacing w:after="120"/>
        <w:jc w:val="both"/>
        <w:rPr>
          <w:b/>
          <w:sz w:val="24"/>
          <w:szCs w:val="24"/>
        </w:rPr>
      </w:pPr>
      <w:r w:rsidRPr="009D76C4">
        <w:rPr>
          <w:b/>
          <w:sz w:val="24"/>
          <w:szCs w:val="24"/>
        </w:rPr>
        <w:t>Duty of care and security arrangements</w:t>
      </w:r>
    </w:p>
    <w:p w14:paraId="283D734C" w14:textId="77777777" w:rsidR="009D76C4" w:rsidRPr="009D76C4" w:rsidRDefault="009D76C4" w:rsidP="00D974DB">
      <w:pPr>
        <w:numPr>
          <w:ilvl w:val="1"/>
          <w:numId w:val="1"/>
        </w:numPr>
        <w:spacing w:after="120"/>
        <w:ind w:left="576"/>
        <w:jc w:val="both"/>
        <w:rPr>
          <w:sz w:val="24"/>
          <w:szCs w:val="24"/>
        </w:rPr>
      </w:pPr>
      <w:r w:rsidRPr="009D76C4">
        <w:rPr>
          <w:sz w:val="24"/>
          <w:szCs w:val="24"/>
        </w:rPr>
        <w:t xml:space="preserve">The location where the work is to be performed is extremely dangerous, with a complex and hostile environment that presents logistical and security challenges. Offerors certify that they understand and accept the inherent risk for their business and assets (personnel and materiel) with working in this environment. </w:t>
      </w:r>
    </w:p>
    <w:p w14:paraId="587D0605" w14:textId="77777777" w:rsidR="009D76C4" w:rsidRPr="009D76C4" w:rsidRDefault="009D76C4" w:rsidP="00D974DB">
      <w:pPr>
        <w:numPr>
          <w:ilvl w:val="1"/>
          <w:numId w:val="1"/>
        </w:numPr>
        <w:spacing w:after="120"/>
        <w:ind w:left="576"/>
        <w:jc w:val="both"/>
        <w:rPr>
          <w:sz w:val="24"/>
          <w:szCs w:val="24"/>
        </w:rPr>
      </w:pPr>
      <w:r w:rsidRPr="009D76C4">
        <w:rPr>
          <w:sz w:val="24"/>
          <w:szCs w:val="24"/>
        </w:rPr>
        <w:t xml:space="preserve">The IVA TA will be an independent contractor under this contract. As an independent contractor, the TA will have complete and exclusive control of the management and operation of their business and will be exclusively responsible for the insurance, duty of care, security arrangements, and withholding of income and other taxes in connection with (i) their employees, their partners and/or their agents or subcontractors; as well as (ii) the operation and conduct of their business. </w:t>
      </w:r>
    </w:p>
    <w:p w14:paraId="4F5CDEBC" w14:textId="77777777" w:rsidR="009D76C4" w:rsidRPr="009D76C4" w:rsidRDefault="009D76C4" w:rsidP="00D974DB">
      <w:pPr>
        <w:numPr>
          <w:ilvl w:val="1"/>
          <w:numId w:val="1"/>
        </w:numPr>
        <w:spacing w:after="120"/>
        <w:ind w:left="576"/>
        <w:jc w:val="both"/>
        <w:rPr>
          <w:sz w:val="24"/>
          <w:szCs w:val="24"/>
        </w:rPr>
      </w:pPr>
      <w:r w:rsidRPr="009D76C4">
        <w:rPr>
          <w:sz w:val="24"/>
          <w:szCs w:val="24"/>
        </w:rPr>
        <w:t xml:space="preserve">The World Bank expects the IVA TA to accurately disclose the threat environment of the contract place of work toward its employees in all aspects of the proposed contract work. In so defining Duty of Care, the Bank will seek to establish: </w:t>
      </w:r>
    </w:p>
    <w:p w14:paraId="38D9A1DF" w14:textId="77777777" w:rsidR="009D76C4" w:rsidRPr="009D76C4" w:rsidRDefault="009D76C4" w:rsidP="00D974DB">
      <w:pPr>
        <w:numPr>
          <w:ilvl w:val="0"/>
          <w:numId w:val="4"/>
        </w:numPr>
        <w:tabs>
          <w:tab w:val="num" w:pos="720"/>
        </w:tabs>
        <w:spacing w:after="120"/>
        <w:jc w:val="both"/>
        <w:rPr>
          <w:sz w:val="24"/>
          <w:szCs w:val="24"/>
        </w:rPr>
      </w:pPr>
      <w:r w:rsidRPr="009D76C4">
        <w:rPr>
          <w:sz w:val="24"/>
          <w:szCs w:val="24"/>
        </w:rPr>
        <w:lastRenderedPageBreak/>
        <w:t xml:space="preserve">that the IVA TA fully understands and accepts the risks and threats of the work environment, and will assure the same full understanding and acceptance of all of its employees (i.e., direct employees, third-party contractors, and consultants) under the contract; and </w:t>
      </w:r>
    </w:p>
    <w:p w14:paraId="1023BE1C" w14:textId="77777777" w:rsidR="009D76C4" w:rsidRPr="009D76C4" w:rsidRDefault="009D76C4" w:rsidP="00D974DB">
      <w:pPr>
        <w:numPr>
          <w:ilvl w:val="0"/>
          <w:numId w:val="4"/>
        </w:numPr>
        <w:tabs>
          <w:tab w:val="num" w:pos="720"/>
        </w:tabs>
        <w:spacing w:after="120"/>
        <w:jc w:val="both"/>
        <w:rPr>
          <w:sz w:val="24"/>
          <w:szCs w:val="24"/>
        </w:rPr>
      </w:pPr>
      <w:r w:rsidRPr="009D76C4">
        <w:rPr>
          <w:sz w:val="24"/>
          <w:szCs w:val="24"/>
        </w:rPr>
        <w:t xml:space="preserve">that the IVA TA fully accepts its primary accountability and responsibilities for the operational security and safety (Duty of Care) toward its employees under the contract, and has presented to the World Bank its capability to manage the risks by implementing the security measures identified for the duration of the contract. </w:t>
      </w:r>
    </w:p>
    <w:p w14:paraId="4640E055" w14:textId="77777777" w:rsidR="009D76C4" w:rsidRPr="009D76C4" w:rsidRDefault="009D76C4" w:rsidP="00D974DB">
      <w:pPr>
        <w:numPr>
          <w:ilvl w:val="0"/>
          <w:numId w:val="4"/>
        </w:numPr>
        <w:tabs>
          <w:tab w:val="num" w:pos="720"/>
        </w:tabs>
        <w:spacing w:after="120"/>
        <w:jc w:val="both"/>
        <w:rPr>
          <w:sz w:val="24"/>
          <w:szCs w:val="24"/>
        </w:rPr>
      </w:pPr>
      <w:r w:rsidRPr="009D76C4">
        <w:rPr>
          <w:sz w:val="24"/>
          <w:szCs w:val="24"/>
        </w:rPr>
        <w:t xml:space="preserve">the IVA TA maintains its primary accountability and responsibilities for the operational security and safety Duty of Care toward its employees under the contract, and will assume the implementation of the security measures needed for the duration of the contract including adequate transportation and lodging as required. </w:t>
      </w:r>
    </w:p>
    <w:p w14:paraId="41EB0481" w14:textId="094E90A9" w:rsidR="009D76C4" w:rsidRDefault="009D76C4" w:rsidP="00D974DB">
      <w:pPr>
        <w:numPr>
          <w:ilvl w:val="1"/>
          <w:numId w:val="1"/>
        </w:numPr>
        <w:spacing w:after="120"/>
        <w:ind w:left="576"/>
        <w:jc w:val="both"/>
        <w:rPr>
          <w:sz w:val="24"/>
          <w:szCs w:val="24"/>
        </w:rPr>
      </w:pPr>
      <w:r w:rsidRPr="009D76C4">
        <w:rPr>
          <w:sz w:val="24"/>
          <w:szCs w:val="24"/>
        </w:rPr>
        <w:t xml:space="preserve">The IVA TA shall provide security requirements as part of the response to this Terms of Reference and the same will be discussed and agreed during the contract negotiations. The cost associated with the security arrangements has to be made part of the Financial Proposal and shown as a separate line item. </w:t>
      </w:r>
    </w:p>
    <w:p w14:paraId="2610645C" w14:textId="77777777" w:rsidR="00513BFD" w:rsidRPr="009D76C4" w:rsidRDefault="00513BFD" w:rsidP="00513BFD">
      <w:pPr>
        <w:spacing w:after="120"/>
        <w:ind w:left="576"/>
        <w:jc w:val="both"/>
        <w:rPr>
          <w:sz w:val="24"/>
          <w:szCs w:val="24"/>
        </w:rPr>
      </w:pPr>
    </w:p>
    <w:p w14:paraId="7018AAB8" w14:textId="77777777" w:rsidR="009D76C4" w:rsidRPr="009D76C4" w:rsidRDefault="009D76C4" w:rsidP="00D974DB">
      <w:pPr>
        <w:numPr>
          <w:ilvl w:val="0"/>
          <w:numId w:val="1"/>
        </w:numPr>
        <w:spacing w:after="120"/>
        <w:jc w:val="both"/>
        <w:rPr>
          <w:b/>
          <w:sz w:val="24"/>
          <w:szCs w:val="24"/>
        </w:rPr>
      </w:pPr>
      <w:r w:rsidRPr="009D76C4">
        <w:rPr>
          <w:b/>
          <w:sz w:val="24"/>
          <w:szCs w:val="24"/>
        </w:rPr>
        <w:t>Consideration of the impact of COVID-19</w:t>
      </w:r>
    </w:p>
    <w:p w14:paraId="09057295" w14:textId="72806EF0" w:rsidR="009D76C4" w:rsidRPr="00513BFD" w:rsidRDefault="003370C6" w:rsidP="00D974DB">
      <w:pPr>
        <w:numPr>
          <w:ilvl w:val="1"/>
          <w:numId w:val="1"/>
        </w:numPr>
        <w:spacing w:after="120"/>
        <w:ind w:left="576"/>
        <w:jc w:val="both"/>
      </w:pPr>
      <w:r>
        <w:rPr>
          <w:sz w:val="24"/>
          <w:szCs w:val="24"/>
        </w:rPr>
        <w:t>Given the</w:t>
      </w:r>
      <w:r w:rsidR="009D76C4" w:rsidRPr="009D76C4">
        <w:rPr>
          <w:sz w:val="24"/>
          <w:szCs w:val="24"/>
        </w:rPr>
        <w:t xml:space="preserve"> COVID-19 pandemic, the TA should provide elaborate methodologies and approaches that will allow them to conduct their audits in a safe and effective manner</w:t>
      </w:r>
      <w:r w:rsidR="009D76C4" w:rsidRPr="009D76C4">
        <w:t xml:space="preserve">. </w:t>
      </w:r>
    </w:p>
    <w:p w14:paraId="31096EC2" w14:textId="77777777" w:rsidR="009D76C4" w:rsidRPr="009D76C4" w:rsidRDefault="009D76C4" w:rsidP="00D974DB">
      <w:pPr>
        <w:numPr>
          <w:ilvl w:val="0"/>
          <w:numId w:val="1"/>
        </w:numPr>
        <w:spacing w:after="120"/>
        <w:jc w:val="both"/>
        <w:rPr>
          <w:b/>
          <w:sz w:val="24"/>
          <w:szCs w:val="24"/>
        </w:rPr>
      </w:pPr>
      <w:r w:rsidRPr="009D76C4">
        <w:rPr>
          <w:b/>
          <w:sz w:val="24"/>
          <w:szCs w:val="24"/>
        </w:rPr>
        <w:t>Performance management</w:t>
      </w:r>
    </w:p>
    <w:p w14:paraId="51EADDE5" w14:textId="77777777" w:rsidR="009D76C4" w:rsidRPr="009D76C4" w:rsidRDefault="009D76C4" w:rsidP="00D974DB">
      <w:pPr>
        <w:numPr>
          <w:ilvl w:val="1"/>
          <w:numId w:val="1"/>
        </w:numPr>
        <w:spacing w:after="120"/>
        <w:ind w:left="576"/>
        <w:jc w:val="both"/>
        <w:rPr>
          <w:sz w:val="24"/>
          <w:szCs w:val="24"/>
        </w:rPr>
      </w:pPr>
      <w:r w:rsidRPr="009D76C4">
        <w:rPr>
          <w:sz w:val="24"/>
          <w:szCs w:val="24"/>
        </w:rPr>
        <w:t>Auditor General, as the head of the OAGS, will be responsible for the work and deliverables of the IVA TA.</w:t>
      </w:r>
    </w:p>
    <w:p w14:paraId="3A4F76BB" w14:textId="6DAE80C3" w:rsidR="009D76C4" w:rsidRPr="003D120E" w:rsidRDefault="00F04078" w:rsidP="00D974DB">
      <w:pPr>
        <w:numPr>
          <w:ilvl w:val="0"/>
          <w:numId w:val="1"/>
        </w:numPr>
        <w:spacing w:after="120"/>
        <w:jc w:val="both"/>
        <w:rPr>
          <w:b/>
          <w:sz w:val="24"/>
          <w:szCs w:val="24"/>
        </w:rPr>
      </w:pPr>
      <w:r w:rsidRPr="003D120E">
        <w:rPr>
          <w:b/>
          <w:sz w:val="24"/>
          <w:szCs w:val="24"/>
        </w:rPr>
        <w:t>Deliverable’s</w:t>
      </w:r>
      <w:r w:rsidR="009D76C4" w:rsidRPr="003D120E">
        <w:rPr>
          <w:b/>
          <w:sz w:val="24"/>
          <w:szCs w:val="24"/>
        </w:rPr>
        <w:t xml:space="preserve"> schedule</w:t>
      </w:r>
    </w:p>
    <w:p w14:paraId="158AA3ED" w14:textId="77777777" w:rsidR="009D76C4" w:rsidRPr="009D76C4" w:rsidRDefault="009D76C4" w:rsidP="00D974DB">
      <w:pPr>
        <w:numPr>
          <w:ilvl w:val="1"/>
          <w:numId w:val="1"/>
        </w:numPr>
        <w:spacing w:after="120"/>
        <w:ind w:left="576"/>
        <w:jc w:val="both"/>
        <w:rPr>
          <w:sz w:val="24"/>
          <w:szCs w:val="24"/>
        </w:rPr>
      </w:pPr>
      <w:r w:rsidRPr="009D76C4">
        <w:rPr>
          <w:sz w:val="24"/>
          <w:szCs w:val="24"/>
        </w:rPr>
        <w:t xml:space="preserve">Inception phase deliverables within 30 calendar days of contracting </w:t>
      </w:r>
    </w:p>
    <w:p w14:paraId="02BF7339" w14:textId="77777777" w:rsidR="009D76C4" w:rsidRPr="009D76C4" w:rsidRDefault="009D76C4" w:rsidP="00D974DB">
      <w:pPr>
        <w:numPr>
          <w:ilvl w:val="1"/>
          <w:numId w:val="1"/>
        </w:numPr>
        <w:spacing w:after="120"/>
        <w:ind w:left="576"/>
        <w:jc w:val="both"/>
        <w:rPr>
          <w:sz w:val="24"/>
          <w:szCs w:val="24"/>
        </w:rPr>
      </w:pPr>
      <w:r w:rsidRPr="009D76C4">
        <w:rPr>
          <w:sz w:val="24"/>
          <w:szCs w:val="24"/>
        </w:rPr>
        <w:t>Verification plans for each cycle 30 days prior to DLIs/PBCs</w:t>
      </w:r>
      <w:r w:rsidRPr="009D76C4" w:rsidDel="00EA6EF0">
        <w:rPr>
          <w:sz w:val="24"/>
          <w:szCs w:val="24"/>
        </w:rPr>
        <w:t xml:space="preserve"> </w:t>
      </w:r>
      <w:r w:rsidRPr="009D76C4">
        <w:rPr>
          <w:sz w:val="24"/>
          <w:szCs w:val="24"/>
        </w:rPr>
        <w:t>measurement date</w:t>
      </w:r>
    </w:p>
    <w:p w14:paraId="05B4070F" w14:textId="77777777" w:rsidR="009D76C4" w:rsidRPr="009D76C4" w:rsidRDefault="009D76C4" w:rsidP="00D974DB">
      <w:pPr>
        <w:numPr>
          <w:ilvl w:val="1"/>
          <w:numId w:val="1"/>
        </w:numPr>
        <w:spacing w:after="120"/>
        <w:ind w:left="576"/>
        <w:jc w:val="both"/>
        <w:rPr>
          <w:sz w:val="24"/>
          <w:szCs w:val="24"/>
        </w:rPr>
      </w:pPr>
      <w:r w:rsidRPr="009D76C4">
        <w:rPr>
          <w:sz w:val="24"/>
          <w:szCs w:val="24"/>
        </w:rPr>
        <w:t>Draft verification reports, Memoranda on significant issues and working paper files within 30 days subsequent to the DLIs/PBCs</w:t>
      </w:r>
      <w:r w:rsidRPr="009D76C4" w:rsidDel="00EA6EF0">
        <w:rPr>
          <w:sz w:val="24"/>
          <w:szCs w:val="24"/>
        </w:rPr>
        <w:t xml:space="preserve"> </w:t>
      </w:r>
      <w:r w:rsidRPr="009D76C4">
        <w:rPr>
          <w:sz w:val="24"/>
          <w:szCs w:val="24"/>
        </w:rPr>
        <w:t>measurement date</w:t>
      </w:r>
    </w:p>
    <w:p w14:paraId="667F8A83" w14:textId="77777777" w:rsidR="009D76C4" w:rsidRPr="009D76C4" w:rsidRDefault="009D76C4" w:rsidP="00D974DB">
      <w:pPr>
        <w:numPr>
          <w:ilvl w:val="1"/>
          <w:numId w:val="1"/>
        </w:numPr>
        <w:spacing w:after="120"/>
        <w:ind w:left="432"/>
        <w:jc w:val="both"/>
        <w:rPr>
          <w:sz w:val="24"/>
          <w:szCs w:val="24"/>
        </w:rPr>
      </w:pPr>
      <w:r w:rsidRPr="009D76C4">
        <w:rPr>
          <w:sz w:val="24"/>
          <w:szCs w:val="24"/>
        </w:rPr>
        <w:t>Report to the Auditor General detailing lessons learned and related recommendations within 30 days subsequent to the DLIs/PBCs</w:t>
      </w:r>
      <w:r w:rsidRPr="009D76C4" w:rsidDel="00EA6EF0">
        <w:rPr>
          <w:sz w:val="24"/>
          <w:szCs w:val="24"/>
        </w:rPr>
        <w:t xml:space="preserve"> </w:t>
      </w:r>
      <w:r w:rsidRPr="009D76C4">
        <w:rPr>
          <w:sz w:val="24"/>
          <w:szCs w:val="24"/>
        </w:rPr>
        <w:t>measurement date</w:t>
      </w:r>
    </w:p>
    <w:p w14:paraId="619E4729" w14:textId="77777777" w:rsidR="007773A4" w:rsidRDefault="007773A4" w:rsidP="001B1751">
      <w:pPr>
        <w:rPr>
          <w:b/>
          <w:sz w:val="24"/>
          <w:szCs w:val="24"/>
        </w:rPr>
        <w:sectPr w:rsidR="007773A4" w:rsidSect="00BF7BB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36A1E727" w14:textId="77777777" w:rsidR="00C608D6" w:rsidRPr="00C608D6" w:rsidRDefault="007773A4" w:rsidP="003D120E">
      <w:pPr>
        <w:spacing w:after="120"/>
        <w:ind w:left="-540"/>
        <w:jc w:val="center"/>
        <w:rPr>
          <w:b/>
          <w:sz w:val="24"/>
          <w:szCs w:val="24"/>
        </w:rPr>
      </w:pPr>
      <w:bookmarkStart w:id="5" w:name="_Toc41605715"/>
      <w:r w:rsidRPr="00C608D6">
        <w:rPr>
          <w:b/>
          <w:sz w:val="24"/>
          <w:szCs w:val="24"/>
        </w:rPr>
        <w:lastRenderedPageBreak/>
        <w:t xml:space="preserve">Annex </w:t>
      </w:r>
      <w:r w:rsidR="002824F4" w:rsidRPr="00C608D6">
        <w:rPr>
          <w:b/>
          <w:sz w:val="24"/>
          <w:szCs w:val="24"/>
        </w:rPr>
        <w:t>A</w:t>
      </w:r>
      <w:r w:rsidRPr="00C608D6">
        <w:rPr>
          <w:b/>
          <w:sz w:val="24"/>
          <w:szCs w:val="24"/>
        </w:rPr>
        <w:t xml:space="preserve">: </w:t>
      </w:r>
    </w:p>
    <w:p w14:paraId="24FA32EC" w14:textId="11063813" w:rsidR="007773A4" w:rsidRPr="007773A4" w:rsidRDefault="007773A4" w:rsidP="003D120E">
      <w:pPr>
        <w:spacing w:after="120"/>
        <w:ind w:left="-540"/>
        <w:jc w:val="center"/>
        <w:rPr>
          <w:b/>
        </w:rPr>
      </w:pPr>
      <w:r w:rsidRPr="007773A4">
        <w:rPr>
          <w:b/>
        </w:rPr>
        <w:t>RCRF II Disbursement Linked Indicators (DLIS), RCRF III Performance Based Con</w:t>
      </w:r>
      <w:r w:rsidR="002824F4">
        <w:rPr>
          <w:b/>
        </w:rPr>
        <w:t>ditions (PBCs)</w:t>
      </w:r>
      <w:r w:rsidRPr="007773A4">
        <w:rPr>
          <w:b/>
        </w:rPr>
        <w:t xml:space="preserve"> and Associated Verification Protocols</w:t>
      </w:r>
      <w:r w:rsidRPr="007773A4">
        <w:rPr>
          <w:b/>
          <w:vertAlign w:val="superscript"/>
        </w:rPr>
        <w:footnoteReference w:id="2"/>
      </w:r>
    </w:p>
    <w:p w14:paraId="2D8041BB" w14:textId="27BC7617" w:rsidR="007773A4" w:rsidRPr="002824F4" w:rsidRDefault="007773A4" w:rsidP="002824F4">
      <w:pPr>
        <w:spacing w:after="120"/>
        <w:ind w:left="-540"/>
        <w:jc w:val="center"/>
        <w:rPr>
          <w:b/>
          <w:sz w:val="22"/>
          <w:szCs w:val="22"/>
        </w:rPr>
      </w:pPr>
      <w:r w:rsidRPr="002824F4">
        <w:rPr>
          <w:b/>
          <w:sz w:val="22"/>
          <w:szCs w:val="22"/>
        </w:rPr>
        <w:t xml:space="preserve">Table </w:t>
      </w:r>
      <w:r w:rsidR="002824F4" w:rsidRPr="002824F4">
        <w:rPr>
          <w:b/>
          <w:sz w:val="22"/>
          <w:szCs w:val="22"/>
        </w:rPr>
        <w:t>1</w:t>
      </w:r>
      <w:r w:rsidRPr="002824F4">
        <w:rPr>
          <w:b/>
          <w:sz w:val="22"/>
          <w:szCs w:val="22"/>
        </w:rPr>
        <w:t>: RCRF II DLI Matrix (Under AF Approved in 2018)</w:t>
      </w:r>
      <w:bookmarkEnd w:id="5"/>
    </w:p>
    <w:tbl>
      <w:tblPr>
        <w:tblW w:w="5352" w:type="pct"/>
        <w:tblInd w:w="-910" w:type="dxa"/>
        <w:tblLook w:val="04A0" w:firstRow="1" w:lastRow="0" w:firstColumn="1" w:lastColumn="0" w:noHBand="0" w:noVBand="1"/>
      </w:tblPr>
      <w:tblGrid>
        <w:gridCol w:w="2249"/>
        <w:gridCol w:w="1709"/>
        <w:gridCol w:w="1648"/>
        <w:gridCol w:w="1682"/>
        <w:gridCol w:w="1615"/>
        <w:gridCol w:w="1718"/>
        <w:gridCol w:w="1579"/>
        <w:gridCol w:w="1651"/>
      </w:tblGrid>
      <w:tr w:rsidR="007773A4" w:rsidRPr="007773A4" w14:paraId="304090F6" w14:textId="77777777" w:rsidTr="007773A4">
        <w:trPr>
          <w:trHeight w:val="142"/>
          <w:tblHeader/>
        </w:trPr>
        <w:tc>
          <w:tcPr>
            <w:tcW w:w="81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666D0A"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xml:space="preserve">DLI and Problem Statement </w:t>
            </w:r>
          </w:p>
        </w:tc>
        <w:tc>
          <w:tcPr>
            <w:tcW w:w="617" w:type="pct"/>
            <w:tcBorders>
              <w:top w:val="single" w:sz="8" w:space="0" w:color="auto"/>
              <w:left w:val="nil"/>
              <w:bottom w:val="nil"/>
              <w:right w:val="single" w:sz="8" w:space="0" w:color="auto"/>
            </w:tcBorders>
            <w:shd w:val="clear" w:color="auto" w:fill="auto"/>
            <w:vAlign w:val="center"/>
            <w:hideMark/>
          </w:tcPr>
          <w:p w14:paraId="7071E4C2"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Year 0 (2018)</w:t>
            </w:r>
          </w:p>
        </w:tc>
        <w:tc>
          <w:tcPr>
            <w:tcW w:w="3571" w:type="pct"/>
            <w:gridSpan w:val="6"/>
            <w:tcBorders>
              <w:top w:val="single" w:sz="8" w:space="0" w:color="auto"/>
              <w:left w:val="nil"/>
              <w:bottom w:val="single" w:sz="8" w:space="0" w:color="auto"/>
              <w:right w:val="single" w:sz="8" w:space="0" w:color="000000"/>
            </w:tcBorders>
            <w:shd w:val="clear" w:color="auto" w:fill="auto"/>
            <w:vAlign w:val="center"/>
            <w:hideMark/>
          </w:tcPr>
          <w:p w14:paraId="5C61D54B"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Indicative timeline for achievement</w:t>
            </w:r>
          </w:p>
        </w:tc>
      </w:tr>
      <w:tr w:rsidR="007773A4" w:rsidRPr="007773A4" w14:paraId="0892E069" w14:textId="77777777" w:rsidTr="007773A4">
        <w:trPr>
          <w:trHeight w:val="106"/>
          <w:tblHeader/>
        </w:trPr>
        <w:tc>
          <w:tcPr>
            <w:tcW w:w="812" w:type="pct"/>
            <w:vMerge/>
            <w:tcBorders>
              <w:top w:val="single" w:sz="8" w:space="0" w:color="auto"/>
              <w:left w:val="single" w:sz="8" w:space="0" w:color="auto"/>
              <w:bottom w:val="single" w:sz="8" w:space="0" w:color="000000"/>
              <w:right w:val="single" w:sz="8" w:space="0" w:color="auto"/>
            </w:tcBorders>
            <w:vAlign w:val="center"/>
            <w:hideMark/>
          </w:tcPr>
          <w:p w14:paraId="38060ABB" w14:textId="77777777" w:rsidR="007773A4" w:rsidRPr="007773A4" w:rsidRDefault="007773A4" w:rsidP="007773A4">
            <w:pPr>
              <w:rPr>
                <w:rFonts w:asciiTheme="minorHAnsi" w:hAnsiTheme="minorHAnsi" w:cstheme="minorHAnsi"/>
                <w:b/>
                <w:bCs/>
                <w:sz w:val="16"/>
                <w:szCs w:val="16"/>
              </w:rPr>
            </w:pPr>
          </w:p>
        </w:tc>
        <w:tc>
          <w:tcPr>
            <w:tcW w:w="617" w:type="pct"/>
            <w:tcBorders>
              <w:top w:val="nil"/>
              <w:left w:val="nil"/>
              <w:bottom w:val="nil"/>
              <w:right w:val="single" w:sz="8" w:space="0" w:color="auto"/>
            </w:tcBorders>
            <w:shd w:val="clear" w:color="auto" w:fill="auto"/>
            <w:vAlign w:val="center"/>
            <w:hideMark/>
          </w:tcPr>
          <w:p w14:paraId="5AD667D9"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xml:space="preserve">Baseline </w:t>
            </w:r>
          </w:p>
        </w:tc>
        <w:tc>
          <w:tcPr>
            <w:tcW w:w="595" w:type="pct"/>
            <w:tcBorders>
              <w:top w:val="nil"/>
              <w:left w:val="nil"/>
              <w:bottom w:val="nil"/>
              <w:right w:val="single" w:sz="8" w:space="0" w:color="auto"/>
            </w:tcBorders>
            <w:shd w:val="clear" w:color="auto" w:fill="auto"/>
            <w:vAlign w:val="center"/>
            <w:hideMark/>
          </w:tcPr>
          <w:p w14:paraId="6E5AC759"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6 months</w:t>
            </w:r>
          </w:p>
        </w:tc>
        <w:tc>
          <w:tcPr>
            <w:tcW w:w="607" w:type="pct"/>
            <w:tcBorders>
              <w:top w:val="nil"/>
              <w:left w:val="nil"/>
              <w:bottom w:val="nil"/>
              <w:right w:val="single" w:sz="8" w:space="0" w:color="auto"/>
            </w:tcBorders>
            <w:shd w:val="clear" w:color="auto" w:fill="auto"/>
            <w:vAlign w:val="center"/>
            <w:hideMark/>
          </w:tcPr>
          <w:p w14:paraId="2B9E812B"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12 months</w:t>
            </w:r>
          </w:p>
        </w:tc>
        <w:tc>
          <w:tcPr>
            <w:tcW w:w="583" w:type="pct"/>
            <w:tcBorders>
              <w:top w:val="nil"/>
              <w:left w:val="nil"/>
              <w:bottom w:val="nil"/>
              <w:right w:val="single" w:sz="8" w:space="0" w:color="auto"/>
            </w:tcBorders>
            <w:shd w:val="clear" w:color="auto" w:fill="auto"/>
            <w:vAlign w:val="center"/>
            <w:hideMark/>
          </w:tcPr>
          <w:p w14:paraId="7ACE0E62"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18 months</w:t>
            </w:r>
          </w:p>
        </w:tc>
        <w:tc>
          <w:tcPr>
            <w:tcW w:w="620" w:type="pct"/>
            <w:tcBorders>
              <w:top w:val="nil"/>
              <w:left w:val="nil"/>
              <w:bottom w:val="nil"/>
              <w:right w:val="single" w:sz="8" w:space="0" w:color="auto"/>
            </w:tcBorders>
            <w:shd w:val="clear" w:color="auto" w:fill="auto"/>
            <w:vAlign w:val="center"/>
            <w:hideMark/>
          </w:tcPr>
          <w:p w14:paraId="4E0AB58B"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24 months</w:t>
            </w:r>
          </w:p>
        </w:tc>
        <w:tc>
          <w:tcPr>
            <w:tcW w:w="570" w:type="pct"/>
            <w:tcBorders>
              <w:top w:val="nil"/>
              <w:left w:val="nil"/>
              <w:bottom w:val="nil"/>
              <w:right w:val="single" w:sz="8" w:space="0" w:color="auto"/>
            </w:tcBorders>
            <w:shd w:val="clear" w:color="auto" w:fill="auto"/>
            <w:vAlign w:val="center"/>
            <w:hideMark/>
          </w:tcPr>
          <w:p w14:paraId="0BE37DBA"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30 months</w:t>
            </w:r>
          </w:p>
        </w:tc>
        <w:tc>
          <w:tcPr>
            <w:tcW w:w="596" w:type="pct"/>
            <w:tcBorders>
              <w:top w:val="nil"/>
              <w:left w:val="nil"/>
              <w:bottom w:val="nil"/>
              <w:right w:val="single" w:sz="8" w:space="0" w:color="auto"/>
            </w:tcBorders>
            <w:shd w:val="clear" w:color="auto" w:fill="auto"/>
            <w:vAlign w:val="center"/>
            <w:hideMark/>
          </w:tcPr>
          <w:p w14:paraId="315AEF16"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36 months</w:t>
            </w:r>
          </w:p>
        </w:tc>
      </w:tr>
      <w:tr w:rsidR="007773A4" w:rsidRPr="007773A4" w14:paraId="466D6F82" w14:textId="77777777" w:rsidTr="007773A4">
        <w:trPr>
          <w:trHeight w:val="79"/>
          <w:tblHeader/>
        </w:trPr>
        <w:tc>
          <w:tcPr>
            <w:tcW w:w="812" w:type="pct"/>
            <w:vMerge/>
            <w:tcBorders>
              <w:top w:val="single" w:sz="8" w:space="0" w:color="auto"/>
              <w:left w:val="single" w:sz="8" w:space="0" w:color="auto"/>
              <w:bottom w:val="single" w:sz="8" w:space="0" w:color="000000"/>
              <w:right w:val="single" w:sz="8" w:space="0" w:color="auto"/>
            </w:tcBorders>
            <w:vAlign w:val="center"/>
            <w:hideMark/>
          </w:tcPr>
          <w:p w14:paraId="05B7BF37" w14:textId="77777777" w:rsidR="007773A4" w:rsidRPr="007773A4" w:rsidRDefault="007773A4" w:rsidP="007773A4">
            <w:pPr>
              <w:rPr>
                <w:rFonts w:asciiTheme="minorHAnsi" w:hAnsiTheme="minorHAnsi" w:cstheme="minorHAnsi"/>
                <w:b/>
                <w:bCs/>
                <w:sz w:val="16"/>
                <w:szCs w:val="16"/>
              </w:rPr>
            </w:pPr>
          </w:p>
        </w:tc>
        <w:tc>
          <w:tcPr>
            <w:tcW w:w="617" w:type="pct"/>
            <w:tcBorders>
              <w:top w:val="nil"/>
              <w:left w:val="nil"/>
              <w:bottom w:val="single" w:sz="8" w:space="0" w:color="auto"/>
              <w:right w:val="single" w:sz="8" w:space="0" w:color="auto"/>
            </w:tcBorders>
            <w:shd w:val="clear" w:color="auto" w:fill="auto"/>
            <w:vAlign w:val="center"/>
            <w:hideMark/>
          </w:tcPr>
          <w:p w14:paraId="752F54C1"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w:t>
            </w:r>
          </w:p>
        </w:tc>
        <w:tc>
          <w:tcPr>
            <w:tcW w:w="595" w:type="pct"/>
            <w:tcBorders>
              <w:top w:val="nil"/>
              <w:left w:val="nil"/>
              <w:bottom w:val="single" w:sz="8" w:space="0" w:color="auto"/>
              <w:right w:val="single" w:sz="8" w:space="0" w:color="auto"/>
            </w:tcBorders>
            <w:shd w:val="clear" w:color="auto" w:fill="auto"/>
            <w:vAlign w:val="center"/>
            <w:hideMark/>
          </w:tcPr>
          <w:p w14:paraId="33D35DA9"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(March 2019)</w:t>
            </w:r>
          </w:p>
        </w:tc>
        <w:tc>
          <w:tcPr>
            <w:tcW w:w="607" w:type="pct"/>
            <w:tcBorders>
              <w:top w:val="nil"/>
              <w:left w:val="nil"/>
              <w:bottom w:val="single" w:sz="8" w:space="0" w:color="auto"/>
              <w:right w:val="single" w:sz="8" w:space="0" w:color="auto"/>
            </w:tcBorders>
            <w:shd w:val="clear" w:color="auto" w:fill="auto"/>
            <w:vAlign w:val="center"/>
            <w:hideMark/>
          </w:tcPr>
          <w:p w14:paraId="4EBCE573"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(August 2019)</w:t>
            </w:r>
          </w:p>
        </w:tc>
        <w:tc>
          <w:tcPr>
            <w:tcW w:w="583" w:type="pct"/>
            <w:tcBorders>
              <w:top w:val="nil"/>
              <w:left w:val="nil"/>
              <w:bottom w:val="single" w:sz="8" w:space="0" w:color="auto"/>
              <w:right w:val="single" w:sz="8" w:space="0" w:color="auto"/>
            </w:tcBorders>
            <w:shd w:val="clear" w:color="auto" w:fill="auto"/>
            <w:vAlign w:val="center"/>
            <w:hideMark/>
          </w:tcPr>
          <w:p w14:paraId="3FBB4A70"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(February 2020)</w:t>
            </w:r>
          </w:p>
        </w:tc>
        <w:tc>
          <w:tcPr>
            <w:tcW w:w="620" w:type="pct"/>
            <w:tcBorders>
              <w:top w:val="nil"/>
              <w:left w:val="nil"/>
              <w:bottom w:val="single" w:sz="8" w:space="0" w:color="auto"/>
              <w:right w:val="single" w:sz="8" w:space="0" w:color="auto"/>
            </w:tcBorders>
            <w:shd w:val="clear" w:color="auto" w:fill="auto"/>
            <w:vAlign w:val="center"/>
            <w:hideMark/>
          </w:tcPr>
          <w:p w14:paraId="0F23867A"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(August 2020)</w:t>
            </w:r>
          </w:p>
        </w:tc>
        <w:tc>
          <w:tcPr>
            <w:tcW w:w="570" w:type="pct"/>
            <w:tcBorders>
              <w:top w:val="nil"/>
              <w:left w:val="nil"/>
              <w:bottom w:val="single" w:sz="8" w:space="0" w:color="auto"/>
              <w:right w:val="single" w:sz="8" w:space="0" w:color="auto"/>
            </w:tcBorders>
            <w:shd w:val="clear" w:color="auto" w:fill="auto"/>
            <w:vAlign w:val="center"/>
            <w:hideMark/>
          </w:tcPr>
          <w:p w14:paraId="60EABD5A"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(February 2021)</w:t>
            </w:r>
          </w:p>
        </w:tc>
        <w:tc>
          <w:tcPr>
            <w:tcW w:w="596" w:type="pct"/>
            <w:tcBorders>
              <w:top w:val="nil"/>
              <w:left w:val="nil"/>
              <w:bottom w:val="single" w:sz="8" w:space="0" w:color="auto"/>
              <w:right w:val="single" w:sz="8" w:space="0" w:color="auto"/>
            </w:tcBorders>
            <w:shd w:val="clear" w:color="auto" w:fill="auto"/>
            <w:vAlign w:val="center"/>
            <w:hideMark/>
          </w:tcPr>
          <w:p w14:paraId="286F0707"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(August 2021)</w:t>
            </w:r>
          </w:p>
        </w:tc>
      </w:tr>
      <w:tr w:rsidR="007773A4" w:rsidRPr="007773A4" w14:paraId="54647840" w14:textId="77777777" w:rsidTr="007773A4">
        <w:trPr>
          <w:trHeight w:val="1470"/>
        </w:trPr>
        <w:tc>
          <w:tcPr>
            <w:tcW w:w="812" w:type="pct"/>
            <w:tcBorders>
              <w:top w:val="nil"/>
              <w:left w:val="single" w:sz="8" w:space="0" w:color="auto"/>
              <w:bottom w:val="single" w:sz="8" w:space="0" w:color="auto"/>
              <w:right w:val="single" w:sz="8" w:space="0" w:color="auto"/>
            </w:tcBorders>
            <w:shd w:val="clear" w:color="auto" w:fill="auto"/>
            <w:hideMark/>
          </w:tcPr>
          <w:p w14:paraId="6F5BB181" w14:textId="77777777" w:rsidR="007773A4" w:rsidRPr="007773A4" w:rsidRDefault="007773A4" w:rsidP="007773A4">
            <w:pPr>
              <w:rPr>
                <w:rFonts w:asciiTheme="minorHAnsi" w:hAnsiTheme="minorHAnsi" w:cstheme="minorHAnsi"/>
                <w:sz w:val="16"/>
                <w:szCs w:val="16"/>
              </w:rPr>
            </w:pPr>
            <w:bookmarkStart w:id="6" w:name="_Hlk523313840"/>
            <w:r w:rsidRPr="007773A4">
              <w:rPr>
                <w:rFonts w:asciiTheme="minorHAnsi" w:hAnsiTheme="minorHAnsi" w:cstheme="minorHAnsi"/>
                <w:b/>
                <w:bCs/>
                <w:sz w:val="16"/>
                <w:szCs w:val="16"/>
              </w:rPr>
              <w:t>DLI 1 Strengthen customs administration as per the customs reform action plan</w:t>
            </w:r>
            <w:bookmarkEnd w:id="6"/>
            <w:r w:rsidRPr="007773A4">
              <w:rPr>
                <w:rFonts w:asciiTheme="minorHAnsi" w:hAnsiTheme="minorHAnsi" w:cstheme="minorHAnsi"/>
                <w:b/>
                <w:sz w:val="16"/>
                <w:szCs w:val="16"/>
              </w:rPr>
              <w:t>:</w:t>
            </w:r>
            <w:r w:rsidRPr="007773A4">
              <w:rPr>
                <w:rFonts w:asciiTheme="minorHAnsi" w:hAnsiTheme="minorHAnsi" w:cstheme="minorHAnsi"/>
                <w:sz w:val="16"/>
                <w:szCs w:val="16"/>
              </w:rPr>
              <w:t xml:space="preserve"> Poor systems capacity: organizational, technology, and workflows to support effective and efficient customs management and collection</w:t>
            </w:r>
          </w:p>
        </w:tc>
        <w:tc>
          <w:tcPr>
            <w:tcW w:w="617" w:type="pct"/>
            <w:tcBorders>
              <w:top w:val="nil"/>
              <w:left w:val="nil"/>
              <w:bottom w:val="single" w:sz="8" w:space="0" w:color="auto"/>
              <w:right w:val="single" w:sz="8" w:space="0" w:color="auto"/>
            </w:tcBorders>
            <w:shd w:val="clear" w:color="auto" w:fill="auto"/>
            <w:hideMark/>
          </w:tcPr>
          <w:p w14:paraId="2BB5958E"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Draft customs reform action plan prepared by FGS</w:t>
            </w:r>
          </w:p>
        </w:tc>
        <w:tc>
          <w:tcPr>
            <w:tcW w:w="595" w:type="pct"/>
            <w:tcBorders>
              <w:top w:val="nil"/>
              <w:left w:val="nil"/>
              <w:bottom w:val="single" w:sz="8" w:space="0" w:color="auto"/>
              <w:right w:val="single" w:sz="8" w:space="0" w:color="auto"/>
            </w:tcBorders>
            <w:shd w:val="clear" w:color="auto" w:fill="auto"/>
            <w:hideMark/>
          </w:tcPr>
          <w:p w14:paraId="70372D71" w14:textId="77777777" w:rsidR="007773A4" w:rsidRPr="007773A4" w:rsidRDefault="007773A4" w:rsidP="007773A4">
            <w:pPr>
              <w:rPr>
                <w:rFonts w:asciiTheme="minorHAnsi" w:hAnsiTheme="minorHAnsi" w:cstheme="minorHAnsi"/>
                <w:sz w:val="16"/>
                <w:szCs w:val="16"/>
              </w:rPr>
            </w:pPr>
            <w:bookmarkStart w:id="7" w:name="RANGE!D5"/>
            <w:r w:rsidRPr="007773A4">
              <w:rPr>
                <w:rFonts w:asciiTheme="minorHAnsi" w:hAnsiTheme="minorHAnsi" w:cstheme="minorHAnsi"/>
                <w:sz w:val="16"/>
                <w:szCs w:val="16"/>
              </w:rPr>
              <w:t> </w:t>
            </w:r>
            <w:bookmarkEnd w:id="7"/>
          </w:p>
        </w:tc>
        <w:tc>
          <w:tcPr>
            <w:tcW w:w="607" w:type="pct"/>
            <w:tcBorders>
              <w:top w:val="nil"/>
              <w:left w:val="nil"/>
              <w:bottom w:val="single" w:sz="8" w:space="0" w:color="auto"/>
              <w:right w:val="single" w:sz="8" w:space="0" w:color="auto"/>
            </w:tcBorders>
            <w:shd w:val="clear" w:color="auto" w:fill="auto"/>
            <w:hideMark/>
          </w:tcPr>
          <w:p w14:paraId="0FD7457C" w14:textId="6243785C" w:rsidR="007773A4" w:rsidRPr="007773A4" w:rsidRDefault="007773A4" w:rsidP="007773A4">
            <w:pPr>
              <w:rPr>
                <w:rFonts w:asciiTheme="minorHAnsi" w:hAnsiTheme="minorHAnsi" w:cstheme="minorHAnsi"/>
                <w:sz w:val="16"/>
                <w:szCs w:val="16"/>
              </w:rPr>
            </w:pPr>
          </w:p>
        </w:tc>
        <w:tc>
          <w:tcPr>
            <w:tcW w:w="583" w:type="pct"/>
            <w:tcBorders>
              <w:top w:val="nil"/>
              <w:left w:val="nil"/>
              <w:bottom w:val="single" w:sz="8" w:space="0" w:color="auto"/>
              <w:right w:val="single" w:sz="8" w:space="0" w:color="auto"/>
            </w:tcBorders>
            <w:shd w:val="clear" w:color="auto" w:fill="auto"/>
            <w:hideMark/>
          </w:tcPr>
          <w:p w14:paraId="50915C38"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w:t>
            </w:r>
          </w:p>
        </w:tc>
        <w:tc>
          <w:tcPr>
            <w:tcW w:w="620" w:type="pct"/>
            <w:tcBorders>
              <w:top w:val="nil"/>
              <w:left w:val="nil"/>
              <w:bottom w:val="single" w:sz="8" w:space="0" w:color="auto"/>
              <w:right w:val="single" w:sz="8" w:space="0" w:color="auto"/>
            </w:tcBorders>
            <w:shd w:val="clear" w:color="auto" w:fill="auto"/>
            <w:hideMark/>
          </w:tcPr>
          <w:p w14:paraId="738BB6B1" w14:textId="6775E047" w:rsidR="007773A4" w:rsidRPr="007773A4" w:rsidRDefault="007773A4" w:rsidP="007773A4">
            <w:pPr>
              <w:rPr>
                <w:rFonts w:asciiTheme="minorHAnsi" w:hAnsiTheme="minorHAnsi" w:cstheme="minorHAnsi"/>
                <w:sz w:val="16"/>
                <w:szCs w:val="16"/>
              </w:rPr>
            </w:pPr>
          </w:p>
        </w:tc>
        <w:tc>
          <w:tcPr>
            <w:tcW w:w="570" w:type="pct"/>
            <w:tcBorders>
              <w:top w:val="nil"/>
              <w:left w:val="nil"/>
              <w:bottom w:val="single" w:sz="8" w:space="0" w:color="auto"/>
              <w:right w:val="single" w:sz="8" w:space="0" w:color="auto"/>
            </w:tcBorders>
            <w:shd w:val="clear" w:color="auto" w:fill="auto"/>
            <w:hideMark/>
          </w:tcPr>
          <w:p w14:paraId="51ECA926" w14:textId="516D417B" w:rsidR="007773A4" w:rsidRPr="007773A4" w:rsidRDefault="007773A4" w:rsidP="007773A4">
            <w:pPr>
              <w:rPr>
                <w:rFonts w:asciiTheme="minorHAnsi" w:hAnsiTheme="minorHAnsi" w:cstheme="minorHAnsi"/>
                <w:sz w:val="16"/>
                <w:szCs w:val="16"/>
              </w:rPr>
            </w:pPr>
          </w:p>
        </w:tc>
        <w:tc>
          <w:tcPr>
            <w:tcW w:w="596" w:type="pct"/>
            <w:tcBorders>
              <w:top w:val="nil"/>
              <w:left w:val="nil"/>
              <w:bottom w:val="single" w:sz="8" w:space="0" w:color="auto"/>
              <w:right w:val="single" w:sz="8" w:space="0" w:color="auto"/>
            </w:tcBorders>
            <w:shd w:val="clear" w:color="auto" w:fill="auto"/>
            <w:hideMark/>
          </w:tcPr>
          <w:p w14:paraId="7F21F297"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w:t>
            </w:r>
          </w:p>
        </w:tc>
      </w:tr>
      <w:tr w:rsidR="007773A4" w:rsidRPr="007773A4" w14:paraId="092AA7AD" w14:textId="77777777" w:rsidTr="007773A4">
        <w:trPr>
          <w:trHeight w:val="142"/>
        </w:trPr>
        <w:tc>
          <w:tcPr>
            <w:tcW w:w="812" w:type="pct"/>
            <w:tcBorders>
              <w:top w:val="nil"/>
              <w:left w:val="single" w:sz="8" w:space="0" w:color="auto"/>
              <w:bottom w:val="single" w:sz="8" w:space="0" w:color="auto"/>
              <w:right w:val="single" w:sz="8" w:space="0" w:color="auto"/>
            </w:tcBorders>
            <w:shd w:val="clear" w:color="auto" w:fill="auto"/>
            <w:vAlign w:val="center"/>
            <w:hideMark/>
          </w:tcPr>
          <w:p w14:paraId="2D661095"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4.29</w:t>
            </w:r>
          </w:p>
        </w:tc>
        <w:tc>
          <w:tcPr>
            <w:tcW w:w="617" w:type="pct"/>
            <w:tcBorders>
              <w:top w:val="nil"/>
              <w:left w:val="nil"/>
              <w:bottom w:val="single" w:sz="8" w:space="0" w:color="auto"/>
              <w:right w:val="single" w:sz="8" w:space="0" w:color="auto"/>
            </w:tcBorders>
            <w:shd w:val="clear" w:color="auto" w:fill="auto"/>
            <w:vAlign w:val="center"/>
            <w:hideMark/>
          </w:tcPr>
          <w:p w14:paraId="3F96FC18"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595" w:type="pct"/>
            <w:tcBorders>
              <w:top w:val="nil"/>
              <w:left w:val="nil"/>
              <w:bottom w:val="single" w:sz="8" w:space="0" w:color="auto"/>
              <w:right w:val="single" w:sz="8" w:space="0" w:color="auto"/>
            </w:tcBorders>
            <w:shd w:val="clear" w:color="auto" w:fill="auto"/>
            <w:vAlign w:val="center"/>
            <w:hideMark/>
          </w:tcPr>
          <w:p w14:paraId="1E520800"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607" w:type="pct"/>
            <w:tcBorders>
              <w:top w:val="nil"/>
              <w:left w:val="nil"/>
              <w:bottom w:val="single" w:sz="8" w:space="0" w:color="auto"/>
              <w:right w:val="single" w:sz="8" w:space="0" w:color="auto"/>
            </w:tcBorders>
            <w:shd w:val="clear" w:color="auto" w:fill="auto"/>
            <w:vAlign w:val="center"/>
            <w:hideMark/>
          </w:tcPr>
          <w:p w14:paraId="4C09B553"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1.43</w:t>
            </w:r>
          </w:p>
        </w:tc>
        <w:tc>
          <w:tcPr>
            <w:tcW w:w="583" w:type="pct"/>
            <w:tcBorders>
              <w:top w:val="nil"/>
              <w:left w:val="nil"/>
              <w:bottom w:val="single" w:sz="8" w:space="0" w:color="auto"/>
              <w:right w:val="single" w:sz="8" w:space="0" w:color="auto"/>
            </w:tcBorders>
            <w:shd w:val="clear" w:color="auto" w:fill="auto"/>
            <w:vAlign w:val="center"/>
            <w:hideMark/>
          </w:tcPr>
          <w:p w14:paraId="2B7E1C60"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620" w:type="pct"/>
            <w:tcBorders>
              <w:top w:val="nil"/>
              <w:left w:val="nil"/>
              <w:bottom w:val="single" w:sz="8" w:space="0" w:color="auto"/>
              <w:right w:val="single" w:sz="8" w:space="0" w:color="auto"/>
            </w:tcBorders>
            <w:shd w:val="clear" w:color="auto" w:fill="auto"/>
            <w:vAlign w:val="center"/>
            <w:hideMark/>
          </w:tcPr>
          <w:p w14:paraId="201365F2"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1.43</w:t>
            </w:r>
          </w:p>
        </w:tc>
        <w:tc>
          <w:tcPr>
            <w:tcW w:w="570" w:type="pct"/>
            <w:tcBorders>
              <w:top w:val="nil"/>
              <w:left w:val="nil"/>
              <w:bottom w:val="single" w:sz="8" w:space="0" w:color="auto"/>
              <w:right w:val="single" w:sz="8" w:space="0" w:color="auto"/>
            </w:tcBorders>
            <w:shd w:val="clear" w:color="auto" w:fill="auto"/>
            <w:vAlign w:val="center"/>
            <w:hideMark/>
          </w:tcPr>
          <w:p w14:paraId="233AAAF0"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1.43</w:t>
            </w:r>
          </w:p>
        </w:tc>
        <w:tc>
          <w:tcPr>
            <w:tcW w:w="596" w:type="pct"/>
            <w:tcBorders>
              <w:top w:val="nil"/>
              <w:left w:val="nil"/>
              <w:bottom w:val="single" w:sz="8" w:space="0" w:color="auto"/>
              <w:right w:val="single" w:sz="8" w:space="0" w:color="auto"/>
            </w:tcBorders>
            <w:shd w:val="clear" w:color="auto" w:fill="auto"/>
            <w:vAlign w:val="center"/>
            <w:hideMark/>
          </w:tcPr>
          <w:p w14:paraId="1CBC919B"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r>
      <w:tr w:rsidR="007773A4" w:rsidRPr="007773A4" w14:paraId="09E3A298" w14:textId="77777777" w:rsidTr="007773A4">
        <w:trPr>
          <w:trHeight w:val="1840"/>
        </w:trPr>
        <w:tc>
          <w:tcPr>
            <w:tcW w:w="812" w:type="pct"/>
            <w:tcBorders>
              <w:top w:val="nil"/>
              <w:left w:val="single" w:sz="8" w:space="0" w:color="auto"/>
              <w:bottom w:val="single" w:sz="8" w:space="0" w:color="auto"/>
              <w:right w:val="single" w:sz="8" w:space="0" w:color="auto"/>
            </w:tcBorders>
            <w:shd w:val="clear" w:color="auto" w:fill="auto"/>
            <w:hideMark/>
          </w:tcPr>
          <w:p w14:paraId="446F4C73" w14:textId="77777777" w:rsidR="007773A4" w:rsidRPr="007773A4" w:rsidRDefault="007773A4" w:rsidP="007773A4">
            <w:pPr>
              <w:rPr>
                <w:rFonts w:asciiTheme="minorHAnsi" w:hAnsiTheme="minorHAnsi" w:cstheme="minorHAnsi"/>
                <w:sz w:val="16"/>
                <w:szCs w:val="16"/>
              </w:rPr>
            </w:pPr>
            <w:bookmarkStart w:id="8" w:name="_Hlk523313863"/>
            <w:r w:rsidRPr="007773A4">
              <w:rPr>
                <w:rFonts w:asciiTheme="minorHAnsi" w:hAnsiTheme="minorHAnsi" w:cstheme="minorHAnsi"/>
                <w:b/>
                <w:bCs/>
                <w:sz w:val="16"/>
                <w:szCs w:val="16"/>
              </w:rPr>
              <w:t>DLI 2 Strengthen tax administration systems and staffing</w:t>
            </w:r>
            <w:bookmarkEnd w:id="8"/>
            <w:r w:rsidRPr="007773A4">
              <w:rPr>
                <w:rFonts w:asciiTheme="minorHAnsi" w:hAnsiTheme="minorHAnsi" w:cstheme="minorHAnsi"/>
                <w:b/>
                <w:bCs/>
                <w:sz w:val="16"/>
                <w:szCs w:val="16"/>
              </w:rPr>
              <w:t xml:space="preserve">: </w:t>
            </w:r>
            <w:r w:rsidRPr="007773A4">
              <w:rPr>
                <w:rFonts w:asciiTheme="minorHAnsi" w:hAnsiTheme="minorHAnsi" w:cstheme="minorHAnsi"/>
                <w:b/>
                <w:bCs/>
                <w:sz w:val="16"/>
                <w:szCs w:val="16"/>
              </w:rPr>
              <w:br/>
            </w:r>
            <w:r w:rsidRPr="007773A4">
              <w:rPr>
                <w:rFonts w:asciiTheme="minorHAnsi" w:hAnsiTheme="minorHAnsi" w:cstheme="minorHAnsi"/>
                <w:sz w:val="16"/>
                <w:szCs w:val="16"/>
              </w:rPr>
              <w:t>Poor systems capacity: organizational, technology, and workflows to support effective and efficient tax collection of both large and smaller tax payers</w:t>
            </w:r>
          </w:p>
        </w:tc>
        <w:tc>
          <w:tcPr>
            <w:tcW w:w="617" w:type="pct"/>
            <w:tcBorders>
              <w:top w:val="nil"/>
              <w:left w:val="nil"/>
              <w:bottom w:val="single" w:sz="8" w:space="0" w:color="auto"/>
              <w:right w:val="single" w:sz="8" w:space="0" w:color="auto"/>
            </w:tcBorders>
            <w:shd w:val="clear" w:color="auto" w:fill="auto"/>
            <w:hideMark/>
          </w:tcPr>
          <w:p w14:paraId="7CD49EE2"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Companies registered as government suppliers and with the valid business license, must have clearance by the tax authority before payments on services are made</w:t>
            </w:r>
          </w:p>
        </w:tc>
        <w:tc>
          <w:tcPr>
            <w:tcW w:w="595" w:type="pct"/>
            <w:tcBorders>
              <w:top w:val="nil"/>
              <w:left w:val="nil"/>
              <w:bottom w:val="single" w:sz="8" w:space="0" w:color="auto"/>
              <w:right w:val="single" w:sz="8" w:space="0" w:color="auto"/>
            </w:tcBorders>
            <w:shd w:val="clear" w:color="auto" w:fill="auto"/>
            <w:hideMark/>
          </w:tcPr>
          <w:p w14:paraId="03E02C68" w14:textId="3029E068" w:rsidR="007773A4" w:rsidRPr="007773A4" w:rsidRDefault="007773A4" w:rsidP="007773A4">
            <w:pPr>
              <w:rPr>
                <w:rFonts w:asciiTheme="minorHAnsi" w:hAnsiTheme="minorHAnsi" w:cstheme="minorHAnsi"/>
                <w:sz w:val="16"/>
                <w:szCs w:val="16"/>
              </w:rPr>
            </w:pPr>
          </w:p>
        </w:tc>
        <w:tc>
          <w:tcPr>
            <w:tcW w:w="607" w:type="pct"/>
            <w:tcBorders>
              <w:top w:val="nil"/>
              <w:left w:val="nil"/>
              <w:bottom w:val="single" w:sz="8" w:space="0" w:color="auto"/>
              <w:right w:val="single" w:sz="8" w:space="0" w:color="auto"/>
            </w:tcBorders>
            <w:shd w:val="clear" w:color="auto" w:fill="auto"/>
            <w:hideMark/>
          </w:tcPr>
          <w:p w14:paraId="4A143F43"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w:t>
            </w:r>
          </w:p>
        </w:tc>
        <w:tc>
          <w:tcPr>
            <w:tcW w:w="583" w:type="pct"/>
            <w:tcBorders>
              <w:top w:val="nil"/>
              <w:left w:val="nil"/>
              <w:bottom w:val="single" w:sz="8" w:space="0" w:color="auto"/>
              <w:right w:val="single" w:sz="8" w:space="0" w:color="auto"/>
            </w:tcBorders>
            <w:shd w:val="clear" w:color="auto" w:fill="auto"/>
            <w:hideMark/>
          </w:tcPr>
          <w:p w14:paraId="05CBD100" w14:textId="5192BCBD" w:rsidR="007773A4" w:rsidRPr="007773A4" w:rsidRDefault="007773A4" w:rsidP="007773A4">
            <w:pPr>
              <w:rPr>
                <w:rFonts w:asciiTheme="minorHAnsi" w:hAnsiTheme="minorHAnsi" w:cstheme="minorHAnsi"/>
                <w:sz w:val="16"/>
                <w:szCs w:val="16"/>
              </w:rPr>
            </w:pPr>
          </w:p>
        </w:tc>
        <w:tc>
          <w:tcPr>
            <w:tcW w:w="620" w:type="pct"/>
            <w:tcBorders>
              <w:top w:val="nil"/>
              <w:left w:val="nil"/>
              <w:bottom w:val="single" w:sz="8" w:space="0" w:color="auto"/>
              <w:right w:val="single" w:sz="8" w:space="0" w:color="auto"/>
            </w:tcBorders>
            <w:shd w:val="clear" w:color="auto" w:fill="auto"/>
            <w:hideMark/>
          </w:tcPr>
          <w:p w14:paraId="771D9070"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xml:space="preserve">Targeted automation for collection of sales tax, excise duty, road tax, stamp duty, and registration tax deployed. </w:t>
            </w:r>
          </w:p>
        </w:tc>
        <w:tc>
          <w:tcPr>
            <w:tcW w:w="570" w:type="pct"/>
            <w:tcBorders>
              <w:top w:val="nil"/>
              <w:left w:val="nil"/>
              <w:bottom w:val="single" w:sz="8" w:space="0" w:color="auto"/>
              <w:right w:val="single" w:sz="8" w:space="0" w:color="auto"/>
            </w:tcBorders>
            <w:shd w:val="clear" w:color="auto" w:fill="auto"/>
            <w:hideMark/>
          </w:tcPr>
          <w:p w14:paraId="443B15AB"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w:t>
            </w:r>
          </w:p>
        </w:tc>
        <w:tc>
          <w:tcPr>
            <w:tcW w:w="596" w:type="pct"/>
            <w:tcBorders>
              <w:top w:val="nil"/>
              <w:left w:val="nil"/>
              <w:bottom w:val="single" w:sz="8" w:space="0" w:color="auto"/>
              <w:right w:val="single" w:sz="8" w:space="0" w:color="auto"/>
            </w:tcBorders>
            <w:shd w:val="clear" w:color="auto" w:fill="auto"/>
            <w:hideMark/>
          </w:tcPr>
          <w:p w14:paraId="29BB1A10"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w:t>
            </w:r>
          </w:p>
        </w:tc>
      </w:tr>
      <w:tr w:rsidR="007773A4" w:rsidRPr="007773A4" w14:paraId="6306F291" w14:textId="77777777" w:rsidTr="007773A4">
        <w:trPr>
          <w:trHeight w:val="300"/>
        </w:trPr>
        <w:tc>
          <w:tcPr>
            <w:tcW w:w="812" w:type="pct"/>
            <w:tcBorders>
              <w:top w:val="nil"/>
              <w:left w:val="single" w:sz="8" w:space="0" w:color="auto"/>
              <w:bottom w:val="single" w:sz="8" w:space="0" w:color="auto"/>
              <w:right w:val="single" w:sz="8" w:space="0" w:color="auto"/>
            </w:tcBorders>
            <w:shd w:val="clear" w:color="auto" w:fill="auto"/>
            <w:vAlign w:val="center"/>
            <w:hideMark/>
          </w:tcPr>
          <w:p w14:paraId="7CE15F55"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4.29</w:t>
            </w:r>
          </w:p>
        </w:tc>
        <w:tc>
          <w:tcPr>
            <w:tcW w:w="617" w:type="pct"/>
            <w:tcBorders>
              <w:top w:val="nil"/>
              <w:left w:val="nil"/>
              <w:bottom w:val="single" w:sz="8" w:space="0" w:color="auto"/>
              <w:right w:val="single" w:sz="8" w:space="0" w:color="auto"/>
            </w:tcBorders>
            <w:shd w:val="clear" w:color="auto" w:fill="auto"/>
            <w:vAlign w:val="center"/>
            <w:hideMark/>
          </w:tcPr>
          <w:p w14:paraId="6D132FF8"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595" w:type="pct"/>
            <w:tcBorders>
              <w:top w:val="nil"/>
              <w:left w:val="nil"/>
              <w:bottom w:val="single" w:sz="8" w:space="0" w:color="auto"/>
              <w:right w:val="single" w:sz="8" w:space="0" w:color="auto"/>
            </w:tcBorders>
            <w:shd w:val="clear" w:color="auto" w:fill="auto"/>
            <w:vAlign w:val="center"/>
            <w:hideMark/>
          </w:tcPr>
          <w:p w14:paraId="1424331C"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1.43</w:t>
            </w:r>
          </w:p>
        </w:tc>
        <w:tc>
          <w:tcPr>
            <w:tcW w:w="607" w:type="pct"/>
            <w:tcBorders>
              <w:top w:val="nil"/>
              <w:left w:val="nil"/>
              <w:bottom w:val="single" w:sz="8" w:space="0" w:color="auto"/>
              <w:right w:val="single" w:sz="8" w:space="0" w:color="auto"/>
            </w:tcBorders>
            <w:shd w:val="clear" w:color="auto" w:fill="auto"/>
            <w:vAlign w:val="center"/>
            <w:hideMark/>
          </w:tcPr>
          <w:p w14:paraId="4BC96FF2"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583" w:type="pct"/>
            <w:tcBorders>
              <w:top w:val="nil"/>
              <w:left w:val="nil"/>
              <w:bottom w:val="single" w:sz="8" w:space="0" w:color="auto"/>
              <w:right w:val="single" w:sz="8" w:space="0" w:color="auto"/>
            </w:tcBorders>
            <w:shd w:val="clear" w:color="auto" w:fill="auto"/>
            <w:vAlign w:val="center"/>
            <w:hideMark/>
          </w:tcPr>
          <w:p w14:paraId="09D8684A"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1.43</w:t>
            </w:r>
          </w:p>
        </w:tc>
        <w:tc>
          <w:tcPr>
            <w:tcW w:w="620" w:type="pct"/>
            <w:tcBorders>
              <w:top w:val="nil"/>
              <w:left w:val="nil"/>
              <w:bottom w:val="single" w:sz="8" w:space="0" w:color="auto"/>
              <w:right w:val="single" w:sz="8" w:space="0" w:color="auto"/>
            </w:tcBorders>
            <w:shd w:val="clear" w:color="auto" w:fill="auto"/>
            <w:vAlign w:val="center"/>
            <w:hideMark/>
          </w:tcPr>
          <w:p w14:paraId="4E259C66"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1.43</w:t>
            </w:r>
          </w:p>
        </w:tc>
        <w:tc>
          <w:tcPr>
            <w:tcW w:w="570" w:type="pct"/>
            <w:tcBorders>
              <w:top w:val="nil"/>
              <w:left w:val="nil"/>
              <w:bottom w:val="single" w:sz="8" w:space="0" w:color="auto"/>
              <w:right w:val="single" w:sz="8" w:space="0" w:color="auto"/>
            </w:tcBorders>
            <w:shd w:val="clear" w:color="auto" w:fill="auto"/>
            <w:vAlign w:val="center"/>
            <w:hideMark/>
          </w:tcPr>
          <w:p w14:paraId="13EDD3C4"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596" w:type="pct"/>
            <w:tcBorders>
              <w:top w:val="nil"/>
              <w:left w:val="nil"/>
              <w:bottom w:val="single" w:sz="8" w:space="0" w:color="auto"/>
              <w:right w:val="single" w:sz="8" w:space="0" w:color="auto"/>
            </w:tcBorders>
            <w:shd w:val="clear" w:color="auto" w:fill="auto"/>
            <w:vAlign w:val="center"/>
            <w:hideMark/>
          </w:tcPr>
          <w:p w14:paraId="25E1D075"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r>
      <w:tr w:rsidR="007773A4" w:rsidRPr="007773A4" w14:paraId="57C52EF1" w14:textId="77777777" w:rsidTr="007773A4">
        <w:trPr>
          <w:trHeight w:val="1900"/>
        </w:trPr>
        <w:tc>
          <w:tcPr>
            <w:tcW w:w="812" w:type="pct"/>
            <w:tcBorders>
              <w:top w:val="nil"/>
              <w:left w:val="single" w:sz="8" w:space="0" w:color="auto"/>
              <w:bottom w:val="single" w:sz="8" w:space="0" w:color="auto"/>
              <w:right w:val="single" w:sz="8" w:space="0" w:color="auto"/>
            </w:tcBorders>
            <w:shd w:val="clear" w:color="auto" w:fill="auto"/>
            <w:hideMark/>
          </w:tcPr>
          <w:p w14:paraId="1C948B41" w14:textId="77777777" w:rsidR="007773A4" w:rsidRPr="007773A4" w:rsidRDefault="007773A4" w:rsidP="007773A4">
            <w:pPr>
              <w:rPr>
                <w:rFonts w:asciiTheme="minorHAnsi" w:hAnsiTheme="minorHAnsi" w:cstheme="minorHAnsi"/>
                <w:sz w:val="16"/>
                <w:szCs w:val="16"/>
              </w:rPr>
            </w:pPr>
            <w:bookmarkStart w:id="9" w:name="_Hlk523313874"/>
            <w:r w:rsidRPr="007773A4">
              <w:rPr>
                <w:rFonts w:asciiTheme="minorHAnsi" w:hAnsiTheme="minorHAnsi" w:cstheme="minorHAnsi"/>
                <w:b/>
                <w:bCs/>
                <w:sz w:val="16"/>
                <w:szCs w:val="16"/>
              </w:rPr>
              <w:t xml:space="preserve">DLI 3 Strengthen cash management and Treasury Single Account (TSA): </w:t>
            </w:r>
            <w:bookmarkEnd w:id="9"/>
            <w:r w:rsidRPr="007773A4">
              <w:rPr>
                <w:rFonts w:asciiTheme="minorHAnsi" w:hAnsiTheme="minorHAnsi" w:cstheme="minorHAnsi"/>
                <w:sz w:val="16"/>
                <w:szCs w:val="16"/>
              </w:rPr>
              <w:t xml:space="preserve">Limited ability for Treasury to effectively manage cash; limited view of all liquid assets, limited view of commitments, and of revenue accrued but not booked. </w:t>
            </w:r>
          </w:p>
        </w:tc>
        <w:tc>
          <w:tcPr>
            <w:tcW w:w="617" w:type="pct"/>
            <w:tcBorders>
              <w:top w:val="nil"/>
              <w:left w:val="nil"/>
              <w:bottom w:val="single" w:sz="8" w:space="0" w:color="auto"/>
              <w:right w:val="single" w:sz="8" w:space="0" w:color="auto"/>
            </w:tcBorders>
            <w:shd w:val="clear" w:color="auto" w:fill="auto"/>
            <w:hideMark/>
          </w:tcPr>
          <w:p w14:paraId="09AF09A5"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SFMIS and Core Banking System interface business requirements and technical design documented, developed, tested and deployed.</w:t>
            </w:r>
          </w:p>
        </w:tc>
        <w:tc>
          <w:tcPr>
            <w:tcW w:w="595" w:type="pct"/>
            <w:tcBorders>
              <w:top w:val="nil"/>
              <w:left w:val="nil"/>
              <w:bottom w:val="single" w:sz="8" w:space="0" w:color="auto"/>
              <w:right w:val="single" w:sz="8" w:space="0" w:color="auto"/>
            </w:tcBorders>
            <w:shd w:val="clear" w:color="auto" w:fill="auto"/>
            <w:hideMark/>
          </w:tcPr>
          <w:p w14:paraId="1B11A7EE" w14:textId="055F7907" w:rsidR="007773A4" w:rsidRPr="007773A4" w:rsidRDefault="007773A4" w:rsidP="007773A4">
            <w:pPr>
              <w:rPr>
                <w:rFonts w:asciiTheme="minorHAnsi" w:hAnsiTheme="minorHAnsi" w:cstheme="minorHAnsi"/>
                <w:sz w:val="16"/>
                <w:szCs w:val="16"/>
              </w:rPr>
            </w:pPr>
          </w:p>
        </w:tc>
        <w:tc>
          <w:tcPr>
            <w:tcW w:w="607" w:type="pct"/>
            <w:tcBorders>
              <w:top w:val="nil"/>
              <w:left w:val="nil"/>
              <w:bottom w:val="single" w:sz="8" w:space="0" w:color="auto"/>
              <w:right w:val="single" w:sz="8" w:space="0" w:color="auto"/>
            </w:tcBorders>
            <w:shd w:val="clear" w:color="auto" w:fill="auto"/>
            <w:hideMark/>
          </w:tcPr>
          <w:p w14:paraId="0F6416A7"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w:t>
            </w:r>
          </w:p>
        </w:tc>
        <w:tc>
          <w:tcPr>
            <w:tcW w:w="583" w:type="pct"/>
            <w:tcBorders>
              <w:top w:val="nil"/>
              <w:left w:val="nil"/>
              <w:bottom w:val="single" w:sz="8" w:space="0" w:color="auto"/>
              <w:right w:val="single" w:sz="8" w:space="0" w:color="auto"/>
            </w:tcBorders>
            <w:shd w:val="clear" w:color="auto" w:fill="auto"/>
            <w:hideMark/>
          </w:tcPr>
          <w:p w14:paraId="0DC5B932" w14:textId="3AB2B744" w:rsidR="007773A4" w:rsidRPr="007773A4" w:rsidRDefault="007773A4" w:rsidP="007773A4">
            <w:pPr>
              <w:rPr>
                <w:rFonts w:asciiTheme="minorHAnsi" w:hAnsiTheme="minorHAnsi" w:cstheme="minorHAnsi"/>
                <w:sz w:val="16"/>
                <w:szCs w:val="16"/>
              </w:rPr>
            </w:pPr>
          </w:p>
        </w:tc>
        <w:tc>
          <w:tcPr>
            <w:tcW w:w="620" w:type="pct"/>
            <w:tcBorders>
              <w:top w:val="nil"/>
              <w:left w:val="nil"/>
              <w:bottom w:val="single" w:sz="8" w:space="0" w:color="auto"/>
              <w:right w:val="single" w:sz="8" w:space="0" w:color="auto"/>
            </w:tcBorders>
            <w:shd w:val="clear" w:color="auto" w:fill="auto"/>
            <w:hideMark/>
          </w:tcPr>
          <w:p w14:paraId="755E734D"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w:t>
            </w:r>
          </w:p>
        </w:tc>
        <w:tc>
          <w:tcPr>
            <w:tcW w:w="570" w:type="pct"/>
            <w:tcBorders>
              <w:top w:val="nil"/>
              <w:left w:val="nil"/>
              <w:bottom w:val="single" w:sz="8" w:space="0" w:color="auto"/>
              <w:right w:val="single" w:sz="8" w:space="0" w:color="auto"/>
            </w:tcBorders>
            <w:shd w:val="clear" w:color="auto" w:fill="auto"/>
            <w:hideMark/>
          </w:tcPr>
          <w:p w14:paraId="437A3D65"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SFMIS incorporates cash forecasting model, to inform management about commitments, available balances and expected revenues with regular monthly management reports produced by the Accountant General through SFMIS</w:t>
            </w:r>
          </w:p>
        </w:tc>
        <w:tc>
          <w:tcPr>
            <w:tcW w:w="596" w:type="pct"/>
            <w:tcBorders>
              <w:top w:val="nil"/>
              <w:left w:val="nil"/>
              <w:bottom w:val="single" w:sz="8" w:space="0" w:color="auto"/>
              <w:right w:val="single" w:sz="8" w:space="0" w:color="auto"/>
            </w:tcBorders>
            <w:shd w:val="clear" w:color="auto" w:fill="auto"/>
            <w:hideMark/>
          </w:tcPr>
          <w:p w14:paraId="43921F3D"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w:t>
            </w:r>
          </w:p>
        </w:tc>
      </w:tr>
      <w:tr w:rsidR="007773A4" w:rsidRPr="007773A4" w14:paraId="72D35F50" w14:textId="77777777" w:rsidTr="007773A4">
        <w:trPr>
          <w:trHeight w:val="169"/>
        </w:trPr>
        <w:tc>
          <w:tcPr>
            <w:tcW w:w="812" w:type="pct"/>
            <w:tcBorders>
              <w:top w:val="nil"/>
              <w:left w:val="single" w:sz="8" w:space="0" w:color="auto"/>
              <w:bottom w:val="single" w:sz="8" w:space="0" w:color="auto"/>
              <w:right w:val="single" w:sz="8" w:space="0" w:color="auto"/>
            </w:tcBorders>
            <w:shd w:val="clear" w:color="auto" w:fill="auto"/>
            <w:vAlign w:val="center"/>
            <w:hideMark/>
          </w:tcPr>
          <w:p w14:paraId="42A6ADD7"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lastRenderedPageBreak/>
              <w:t>4.29</w:t>
            </w:r>
          </w:p>
        </w:tc>
        <w:tc>
          <w:tcPr>
            <w:tcW w:w="617" w:type="pct"/>
            <w:tcBorders>
              <w:top w:val="nil"/>
              <w:left w:val="nil"/>
              <w:bottom w:val="single" w:sz="8" w:space="0" w:color="auto"/>
              <w:right w:val="single" w:sz="8" w:space="0" w:color="auto"/>
            </w:tcBorders>
            <w:shd w:val="clear" w:color="auto" w:fill="auto"/>
            <w:vAlign w:val="center"/>
            <w:hideMark/>
          </w:tcPr>
          <w:p w14:paraId="0F67E63A"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595" w:type="pct"/>
            <w:tcBorders>
              <w:top w:val="nil"/>
              <w:left w:val="nil"/>
              <w:bottom w:val="single" w:sz="8" w:space="0" w:color="auto"/>
              <w:right w:val="single" w:sz="8" w:space="0" w:color="auto"/>
            </w:tcBorders>
            <w:shd w:val="clear" w:color="auto" w:fill="auto"/>
            <w:vAlign w:val="center"/>
            <w:hideMark/>
          </w:tcPr>
          <w:p w14:paraId="1FF7FFBC"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1.43</w:t>
            </w:r>
          </w:p>
        </w:tc>
        <w:tc>
          <w:tcPr>
            <w:tcW w:w="607" w:type="pct"/>
            <w:tcBorders>
              <w:top w:val="nil"/>
              <w:left w:val="nil"/>
              <w:bottom w:val="single" w:sz="8" w:space="0" w:color="auto"/>
              <w:right w:val="single" w:sz="8" w:space="0" w:color="auto"/>
            </w:tcBorders>
            <w:shd w:val="clear" w:color="auto" w:fill="auto"/>
            <w:vAlign w:val="center"/>
            <w:hideMark/>
          </w:tcPr>
          <w:p w14:paraId="081A9FC6"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583" w:type="pct"/>
            <w:tcBorders>
              <w:top w:val="nil"/>
              <w:left w:val="nil"/>
              <w:bottom w:val="single" w:sz="8" w:space="0" w:color="auto"/>
              <w:right w:val="single" w:sz="8" w:space="0" w:color="auto"/>
            </w:tcBorders>
            <w:shd w:val="clear" w:color="auto" w:fill="auto"/>
            <w:vAlign w:val="center"/>
            <w:hideMark/>
          </w:tcPr>
          <w:p w14:paraId="0070258E"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1.43</w:t>
            </w:r>
          </w:p>
        </w:tc>
        <w:tc>
          <w:tcPr>
            <w:tcW w:w="620" w:type="pct"/>
            <w:tcBorders>
              <w:top w:val="nil"/>
              <w:left w:val="nil"/>
              <w:bottom w:val="single" w:sz="8" w:space="0" w:color="auto"/>
              <w:right w:val="single" w:sz="8" w:space="0" w:color="auto"/>
            </w:tcBorders>
            <w:shd w:val="clear" w:color="auto" w:fill="auto"/>
            <w:vAlign w:val="center"/>
            <w:hideMark/>
          </w:tcPr>
          <w:p w14:paraId="695D7C05"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570" w:type="pct"/>
            <w:tcBorders>
              <w:top w:val="nil"/>
              <w:left w:val="nil"/>
              <w:bottom w:val="single" w:sz="8" w:space="0" w:color="auto"/>
              <w:right w:val="single" w:sz="8" w:space="0" w:color="auto"/>
            </w:tcBorders>
            <w:shd w:val="clear" w:color="auto" w:fill="auto"/>
            <w:vAlign w:val="center"/>
            <w:hideMark/>
          </w:tcPr>
          <w:p w14:paraId="426BB7F0"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1.43</w:t>
            </w:r>
          </w:p>
        </w:tc>
        <w:tc>
          <w:tcPr>
            <w:tcW w:w="596" w:type="pct"/>
            <w:tcBorders>
              <w:top w:val="nil"/>
              <w:left w:val="nil"/>
              <w:bottom w:val="single" w:sz="8" w:space="0" w:color="auto"/>
              <w:right w:val="single" w:sz="8" w:space="0" w:color="auto"/>
            </w:tcBorders>
            <w:shd w:val="clear" w:color="auto" w:fill="auto"/>
            <w:vAlign w:val="center"/>
            <w:hideMark/>
          </w:tcPr>
          <w:p w14:paraId="397C5B9D"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r>
      <w:tr w:rsidR="007773A4" w:rsidRPr="007773A4" w14:paraId="36B91CE9" w14:textId="77777777" w:rsidTr="007773A4">
        <w:trPr>
          <w:trHeight w:val="1900"/>
        </w:trPr>
        <w:tc>
          <w:tcPr>
            <w:tcW w:w="812" w:type="pct"/>
            <w:tcBorders>
              <w:top w:val="nil"/>
              <w:left w:val="single" w:sz="8" w:space="0" w:color="auto"/>
              <w:bottom w:val="single" w:sz="8" w:space="0" w:color="auto"/>
              <w:right w:val="single" w:sz="8" w:space="0" w:color="auto"/>
            </w:tcBorders>
            <w:shd w:val="clear" w:color="auto" w:fill="auto"/>
            <w:hideMark/>
          </w:tcPr>
          <w:p w14:paraId="31FC72A1" w14:textId="77777777" w:rsidR="007773A4" w:rsidRPr="007773A4" w:rsidRDefault="007773A4" w:rsidP="007773A4">
            <w:pPr>
              <w:rPr>
                <w:rFonts w:asciiTheme="minorHAnsi" w:hAnsiTheme="minorHAnsi" w:cstheme="minorHAnsi"/>
                <w:sz w:val="16"/>
                <w:szCs w:val="16"/>
              </w:rPr>
            </w:pPr>
            <w:bookmarkStart w:id="10" w:name="_Hlk523313882"/>
            <w:r w:rsidRPr="007773A4">
              <w:rPr>
                <w:rFonts w:asciiTheme="minorHAnsi" w:hAnsiTheme="minorHAnsi" w:cstheme="minorHAnsi"/>
                <w:b/>
                <w:bCs/>
                <w:sz w:val="16"/>
                <w:szCs w:val="16"/>
              </w:rPr>
              <w:t>DLI 4 Strengthen payment process for operational expenditures</w:t>
            </w:r>
            <w:r w:rsidRPr="007773A4">
              <w:rPr>
                <w:rFonts w:asciiTheme="minorHAnsi" w:hAnsiTheme="minorHAnsi" w:cstheme="minorHAnsi"/>
                <w:sz w:val="16"/>
                <w:szCs w:val="16"/>
              </w:rPr>
              <w:t xml:space="preserve">: </w:t>
            </w:r>
            <w:bookmarkEnd w:id="10"/>
            <w:r w:rsidRPr="007773A4">
              <w:rPr>
                <w:rFonts w:asciiTheme="minorHAnsi" w:hAnsiTheme="minorHAnsi" w:cstheme="minorHAnsi"/>
                <w:sz w:val="16"/>
                <w:szCs w:val="16"/>
              </w:rPr>
              <w:t>Extensive use of cash advances to finance MDA operational costs, with lack of associated financial controls and unrequited expenditures.</w:t>
            </w:r>
          </w:p>
        </w:tc>
        <w:tc>
          <w:tcPr>
            <w:tcW w:w="617" w:type="pct"/>
            <w:tcBorders>
              <w:top w:val="nil"/>
              <w:left w:val="nil"/>
              <w:bottom w:val="single" w:sz="8" w:space="0" w:color="auto"/>
              <w:right w:val="single" w:sz="8" w:space="0" w:color="auto"/>
            </w:tcBorders>
            <w:shd w:val="clear" w:color="auto" w:fill="auto"/>
            <w:hideMark/>
          </w:tcPr>
          <w:p w14:paraId="3CC659FD"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Cash advances to MDAs 56.4 percent of non-salary recurrent cost expenditures (January to March 2018).</w:t>
            </w:r>
          </w:p>
        </w:tc>
        <w:tc>
          <w:tcPr>
            <w:tcW w:w="595" w:type="pct"/>
            <w:tcBorders>
              <w:top w:val="nil"/>
              <w:left w:val="nil"/>
              <w:bottom w:val="single" w:sz="8" w:space="0" w:color="auto"/>
              <w:right w:val="single" w:sz="8" w:space="0" w:color="auto"/>
            </w:tcBorders>
            <w:shd w:val="clear" w:color="auto" w:fill="auto"/>
            <w:hideMark/>
          </w:tcPr>
          <w:p w14:paraId="20770E09" w14:textId="752D8E9B" w:rsidR="007773A4" w:rsidRPr="007773A4" w:rsidRDefault="007773A4" w:rsidP="007773A4">
            <w:pPr>
              <w:rPr>
                <w:rFonts w:asciiTheme="minorHAnsi" w:hAnsiTheme="minorHAnsi" w:cstheme="minorHAnsi"/>
                <w:sz w:val="16"/>
                <w:szCs w:val="16"/>
              </w:rPr>
            </w:pPr>
          </w:p>
        </w:tc>
        <w:tc>
          <w:tcPr>
            <w:tcW w:w="607" w:type="pct"/>
            <w:tcBorders>
              <w:top w:val="nil"/>
              <w:left w:val="nil"/>
              <w:bottom w:val="single" w:sz="8" w:space="0" w:color="auto"/>
              <w:right w:val="single" w:sz="8" w:space="0" w:color="auto"/>
            </w:tcBorders>
            <w:shd w:val="clear" w:color="auto" w:fill="auto"/>
            <w:hideMark/>
          </w:tcPr>
          <w:p w14:paraId="126241EB"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w:t>
            </w:r>
          </w:p>
        </w:tc>
        <w:tc>
          <w:tcPr>
            <w:tcW w:w="583" w:type="pct"/>
            <w:tcBorders>
              <w:top w:val="nil"/>
              <w:left w:val="nil"/>
              <w:bottom w:val="single" w:sz="8" w:space="0" w:color="auto"/>
              <w:right w:val="single" w:sz="8" w:space="0" w:color="auto"/>
            </w:tcBorders>
            <w:shd w:val="clear" w:color="auto" w:fill="auto"/>
            <w:hideMark/>
          </w:tcPr>
          <w:p w14:paraId="5E879542" w14:textId="6FC4C784" w:rsidR="007773A4" w:rsidRPr="007773A4" w:rsidRDefault="007773A4" w:rsidP="007773A4">
            <w:pPr>
              <w:rPr>
                <w:rFonts w:asciiTheme="minorHAnsi" w:hAnsiTheme="minorHAnsi" w:cstheme="minorHAnsi"/>
                <w:sz w:val="16"/>
                <w:szCs w:val="16"/>
              </w:rPr>
            </w:pPr>
          </w:p>
        </w:tc>
        <w:tc>
          <w:tcPr>
            <w:tcW w:w="620" w:type="pct"/>
            <w:tcBorders>
              <w:top w:val="nil"/>
              <w:left w:val="nil"/>
              <w:bottom w:val="single" w:sz="8" w:space="0" w:color="auto"/>
              <w:right w:val="single" w:sz="8" w:space="0" w:color="auto"/>
            </w:tcBorders>
            <w:shd w:val="clear" w:color="auto" w:fill="auto"/>
            <w:hideMark/>
          </w:tcPr>
          <w:p w14:paraId="1275EA5C"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w:t>
            </w:r>
          </w:p>
        </w:tc>
        <w:tc>
          <w:tcPr>
            <w:tcW w:w="570" w:type="pct"/>
            <w:tcBorders>
              <w:top w:val="nil"/>
              <w:left w:val="nil"/>
              <w:bottom w:val="single" w:sz="8" w:space="0" w:color="auto"/>
              <w:right w:val="single" w:sz="8" w:space="0" w:color="auto"/>
            </w:tcBorders>
            <w:shd w:val="clear" w:color="auto" w:fill="auto"/>
            <w:hideMark/>
          </w:tcPr>
          <w:p w14:paraId="50AC75AE" w14:textId="550B37CB" w:rsidR="007773A4" w:rsidRPr="007773A4" w:rsidRDefault="007773A4" w:rsidP="007773A4">
            <w:pPr>
              <w:rPr>
                <w:rFonts w:asciiTheme="minorHAnsi" w:hAnsiTheme="minorHAnsi" w:cstheme="minorHAnsi"/>
                <w:sz w:val="16"/>
                <w:szCs w:val="16"/>
              </w:rPr>
            </w:pPr>
          </w:p>
        </w:tc>
        <w:tc>
          <w:tcPr>
            <w:tcW w:w="596" w:type="pct"/>
            <w:tcBorders>
              <w:top w:val="nil"/>
              <w:left w:val="nil"/>
              <w:bottom w:val="single" w:sz="8" w:space="0" w:color="auto"/>
              <w:right w:val="single" w:sz="8" w:space="0" w:color="auto"/>
            </w:tcBorders>
            <w:shd w:val="clear" w:color="auto" w:fill="auto"/>
            <w:hideMark/>
          </w:tcPr>
          <w:p w14:paraId="032B7F23"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w:t>
            </w:r>
          </w:p>
        </w:tc>
      </w:tr>
      <w:tr w:rsidR="007773A4" w:rsidRPr="007773A4" w14:paraId="6E410A0F" w14:textId="77777777" w:rsidTr="007773A4">
        <w:trPr>
          <w:trHeight w:val="300"/>
        </w:trPr>
        <w:tc>
          <w:tcPr>
            <w:tcW w:w="812" w:type="pct"/>
            <w:tcBorders>
              <w:top w:val="nil"/>
              <w:left w:val="single" w:sz="8" w:space="0" w:color="auto"/>
              <w:bottom w:val="single" w:sz="8" w:space="0" w:color="auto"/>
              <w:right w:val="single" w:sz="8" w:space="0" w:color="auto"/>
            </w:tcBorders>
            <w:shd w:val="clear" w:color="auto" w:fill="auto"/>
            <w:vAlign w:val="center"/>
            <w:hideMark/>
          </w:tcPr>
          <w:p w14:paraId="7696DD27"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4.29</w:t>
            </w:r>
          </w:p>
        </w:tc>
        <w:tc>
          <w:tcPr>
            <w:tcW w:w="617" w:type="pct"/>
            <w:tcBorders>
              <w:top w:val="nil"/>
              <w:left w:val="nil"/>
              <w:bottom w:val="single" w:sz="8" w:space="0" w:color="auto"/>
              <w:right w:val="single" w:sz="8" w:space="0" w:color="auto"/>
            </w:tcBorders>
            <w:shd w:val="clear" w:color="auto" w:fill="auto"/>
            <w:vAlign w:val="center"/>
            <w:hideMark/>
          </w:tcPr>
          <w:p w14:paraId="14AF0F17"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595" w:type="pct"/>
            <w:tcBorders>
              <w:top w:val="nil"/>
              <w:left w:val="nil"/>
              <w:bottom w:val="single" w:sz="8" w:space="0" w:color="auto"/>
              <w:right w:val="single" w:sz="8" w:space="0" w:color="auto"/>
            </w:tcBorders>
            <w:shd w:val="clear" w:color="auto" w:fill="auto"/>
            <w:vAlign w:val="center"/>
            <w:hideMark/>
          </w:tcPr>
          <w:p w14:paraId="1AE2AAD1"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1.43</w:t>
            </w:r>
          </w:p>
        </w:tc>
        <w:tc>
          <w:tcPr>
            <w:tcW w:w="607" w:type="pct"/>
            <w:tcBorders>
              <w:top w:val="nil"/>
              <w:left w:val="nil"/>
              <w:bottom w:val="single" w:sz="8" w:space="0" w:color="auto"/>
              <w:right w:val="single" w:sz="8" w:space="0" w:color="auto"/>
            </w:tcBorders>
            <w:shd w:val="clear" w:color="auto" w:fill="auto"/>
            <w:vAlign w:val="center"/>
            <w:hideMark/>
          </w:tcPr>
          <w:p w14:paraId="04BFD604"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583" w:type="pct"/>
            <w:tcBorders>
              <w:top w:val="nil"/>
              <w:left w:val="nil"/>
              <w:bottom w:val="single" w:sz="8" w:space="0" w:color="auto"/>
              <w:right w:val="single" w:sz="8" w:space="0" w:color="auto"/>
            </w:tcBorders>
            <w:shd w:val="clear" w:color="auto" w:fill="auto"/>
            <w:vAlign w:val="center"/>
            <w:hideMark/>
          </w:tcPr>
          <w:p w14:paraId="4E8212DF"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1.43</w:t>
            </w:r>
          </w:p>
        </w:tc>
        <w:tc>
          <w:tcPr>
            <w:tcW w:w="620" w:type="pct"/>
            <w:tcBorders>
              <w:top w:val="nil"/>
              <w:left w:val="nil"/>
              <w:bottom w:val="single" w:sz="8" w:space="0" w:color="auto"/>
              <w:right w:val="single" w:sz="8" w:space="0" w:color="auto"/>
            </w:tcBorders>
            <w:shd w:val="clear" w:color="auto" w:fill="auto"/>
            <w:vAlign w:val="center"/>
            <w:hideMark/>
          </w:tcPr>
          <w:p w14:paraId="6F1AD06C"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570" w:type="pct"/>
            <w:tcBorders>
              <w:top w:val="nil"/>
              <w:left w:val="nil"/>
              <w:bottom w:val="single" w:sz="8" w:space="0" w:color="auto"/>
              <w:right w:val="single" w:sz="8" w:space="0" w:color="auto"/>
            </w:tcBorders>
            <w:shd w:val="clear" w:color="auto" w:fill="auto"/>
            <w:vAlign w:val="center"/>
            <w:hideMark/>
          </w:tcPr>
          <w:p w14:paraId="72BAB026"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1.43</w:t>
            </w:r>
          </w:p>
        </w:tc>
        <w:tc>
          <w:tcPr>
            <w:tcW w:w="596" w:type="pct"/>
            <w:tcBorders>
              <w:top w:val="nil"/>
              <w:left w:val="nil"/>
              <w:bottom w:val="single" w:sz="8" w:space="0" w:color="auto"/>
              <w:right w:val="single" w:sz="8" w:space="0" w:color="auto"/>
            </w:tcBorders>
            <w:shd w:val="clear" w:color="auto" w:fill="auto"/>
            <w:vAlign w:val="center"/>
            <w:hideMark/>
          </w:tcPr>
          <w:p w14:paraId="7F0497D0"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r>
      <w:tr w:rsidR="007773A4" w:rsidRPr="007773A4" w14:paraId="2E8879C3" w14:textId="77777777" w:rsidTr="007773A4">
        <w:trPr>
          <w:trHeight w:val="2113"/>
        </w:trPr>
        <w:tc>
          <w:tcPr>
            <w:tcW w:w="812" w:type="pct"/>
            <w:tcBorders>
              <w:top w:val="nil"/>
              <w:left w:val="single" w:sz="8" w:space="0" w:color="auto"/>
              <w:bottom w:val="single" w:sz="8" w:space="0" w:color="auto"/>
              <w:right w:val="single" w:sz="8" w:space="0" w:color="auto"/>
            </w:tcBorders>
            <w:shd w:val="clear" w:color="auto" w:fill="auto"/>
            <w:hideMark/>
          </w:tcPr>
          <w:p w14:paraId="502BD942" w14:textId="77777777" w:rsidR="007773A4" w:rsidRPr="007773A4" w:rsidRDefault="007773A4" w:rsidP="007773A4">
            <w:pPr>
              <w:rPr>
                <w:rFonts w:asciiTheme="minorHAnsi" w:hAnsiTheme="minorHAnsi" w:cstheme="minorHAnsi"/>
                <w:sz w:val="16"/>
                <w:szCs w:val="16"/>
              </w:rPr>
            </w:pPr>
            <w:bookmarkStart w:id="11" w:name="_Hlk523313893"/>
            <w:r w:rsidRPr="007773A4">
              <w:rPr>
                <w:rFonts w:asciiTheme="minorHAnsi" w:hAnsiTheme="minorHAnsi" w:cstheme="minorHAnsi"/>
                <w:b/>
                <w:bCs/>
                <w:sz w:val="16"/>
                <w:szCs w:val="16"/>
              </w:rPr>
              <w:t>DLI 5 Strengthen inter-governmental fiscal policy framework</w:t>
            </w:r>
            <w:r w:rsidRPr="007773A4">
              <w:rPr>
                <w:rFonts w:asciiTheme="minorHAnsi" w:hAnsiTheme="minorHAnsi" w:cstheme="minorHAnsi"/>
                <w:b/>
                <w:sz w:val="16"/>
                <w:szCs w:val="16"/>
              </w:rPr>
              <w:t>:</w:t>
            </w:r>
            <w:r w:rsidRPr="007773A4">
              <w:rPr>
                <w:rFonts w:asciiTheme="minorHAnsi" w:hAnsiTheme="minorHAnsi" w:cstheme="minorHAnsi"/>
                <w:sz w:val="16"/>
                <w:szCs w:val="16"/>
              </w:rPr>
              <w:t xml:space="preserve"> </w:t>
            </w:r>
            <w:bookmarkEnd w:id="11"/>
            <w:r w:rsidRPr="007773A4">
              <w:rPr>
                <w:rFonts w:asciiTheme="minorHAnsi" w:hAnsiTheme="minorHAnsi" w:cstheme="minorHAnsi"/>
                <w:sz w:val="16"/>
                <w:szCs w:val="16"/>
              </w:rPr>
              <w:t>Lack of a rule-based approach to the distribution of funds between FGS and FMS/BRA, with limited assurance that Article 50 I of the Constitution (‘fair distribution of resources’) is being adhered to.</w:t>
            </w:r>
          </w:p>
        </w:tc>
        <w:tc>
          <w:tcPr>
            <w:tcW w:w="617" w:type="pct"/>
            <w:tcBorders>
              <w:top w:val="nil"/>
              <w:left w:val="nil"/>
              <w:bottom w:val="single" w:sz="8" w:space="0" w:color="auto"/>
              <w:right w:val="single" w:sz="8" w:space="0" w:color="auto"/>
            </w:tcBorders>
            <w:shd w:val="clear" w:color="auto" w:fill="auto"/>
            <w:hideMark/>
          </w:tcPr>
          <w:p w14:paraId="3D3AA3E6"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Policy paper outlining Policy Framework for Inter-Governmental Fiscal Transfers Developed and tabled at Finance Ministers Fiscal Forum covering: Budget Timetable; Reporting and disbursement conditions.</w:t>
            </w:r>
          </w:p>
        </w:tc>
        <w:tc>
          <w:tcPr>
            <w:tcW w:w="595" w:type="pct"/>
            <w:tcBorders>
              <w:top w:val="nil"/>
              <w:left w:val="nil"/>
              <w:bottom w:val="single" w:sz="8" w:space="0" w:color="auto"/>
              <w:right w:val="single" w:sz="8" w:space="0" w:color="auto"/>
            </w:tcBorders>
            <w:shd w:val="clear" w:color="auto" w:fill="auto"/>
            <w:hideMark/>
          </w:tcPr>
          <w:p w14:paraId="0DAE901D" w14:textId="63FF66F8" w:rsidR="007773A4" w:rsidRPr="007773A4" w:rsidRDefault="007773A4" w:rsidP="007773A4">
            <w:pPr>
              <w:rPr>
                <w:rFonts w:asciiTheme="minorHAnsi" w:hAnsiTheme="minorHAnsi" w:cstheme="minorHAnsi"/>
                <w:sz w:val="16"/>
                <w:szCs w:val="16"/>
              </w:rPr>
            </w:pPr>
          </w:p>
        </w:tc>
        <w:tc>
          <w:tcPr>
            <w:tcW w:w="607" w:type="pct"/>
            <w:tcBorders>
              <w:top w:val="nil"/>
              <w:left w:val="nil"/>
              <w:bottom w:val="single" w:sz="8" w:space="0" w:color="auto"/>
              <w:right w:val="single" w:sz="8" w:space="0" w:color="auto"/>
            </w:tcBorders>
            <w:shd w:val="clear" w:color="auto" w:fill="auto"/>
            <w:hideMark/>
          </w:tcPr>
          <w:p w14:paraId="7CDB6F0A"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w:t>
            </w:r>
          </w:p>
        </w:tc>
        <w:tc>
          <w:tcPr>
            <w:tcW w:w="583" w:type="pct"/>
            <w:tcBorders>
              <w:top w:val="nil"/>
              <w:left w:val="nil"/>
              <w:bottom w:val="single" w:sz="8" w:space="0" w:color="auto"/>
              <w:right w:val="single" w:sz="8" w:space="0" w:color="auto"/>
            </w:tcBorders>
            <w:shd w:val="clear" w:color="auto" w:fill="auto"/>
            <w:hideMark/>
          </w:tcPr>
          <w:p w14:paraId="093FCFEB"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w:t>
            </w:r>
          </w:p>
        </w:tc>
        <w:tc>
          <w:tcPr>
            <w:tcW w:w="620" w:type="pct"/>
            <w:tcBorders>
              <w:top w:val="nil"/>
              <w:left w:val="nil"/>
              <w:bottom w:val="single" w:sz="8" w:space="0" w:color="auto"/>
              <w:right w:val="single" w:sz="8" w:space="0" w:color="auto"/>
            </w:tcBorders>
            <w:shd w:val="clear" w:color="auto" w:fill="auto"/>
            <w:hideMark/>
          </w:tcPr>
          <w:p w14:paraId="70181275" w14:textId="2A6857AA"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w:t>
            </w:r>
          </w:p>
        </w:tc>
        <w:tc>
          <w:tcPr>
            <w:tcW w:w="570" w:type="pct"/>
            <w:tcBorders>
              <w:top w:val="nil"/>
              <w:left w:val="nil"/>
              <w:bottom w:val="single" w:sz="8" w:space="0" w:color="auto"/>
              <w:right w:val="single" w:sz="8" w:space="0" w:color="auto"/>
            </w:tcBorders>
            <w:shd w:val="clear" w:color="auto" w:fill="auto"/>
            <w:hideMark/>
          </w:tcPr>
          <w:p w14:paraId="6688F329" w14:textId="77777777" w:rsidR="007773A4" w:rsidRPr="007773A4" w:rsidRDefault="007773A4" w:rsidP="007773A4">
            <w:pPr>
              <w:rPr>
                <w:rFonts w:asciiTheme="minorHAnsi" w:hAnsiTheme="minorHAnsi" w:cstheme="minorHAnsi"/>
                <w:sz w:val="16"/>
                <w:szCs w:val="16"/>
              </w:rPr>
            </w:pPr>
          </w:p>
        </w:tc>
        <w:tc>
          <w:tcPr>
            <w:tcW w:w="596" w:type="pct"/>
            <w:tcBorders>
              <w:top w:val="nil"/>
              <w:left w:val="nil"/>
              <w:bottom w:val="single" w:sz="8" w:space="0" w:color="auto"/>
              <w:right w:val="single" w:sz="8" w:space="0" w:color="auto"/>
            </w:tcBorders>
            <w:shd w:val="clear" w:color="auto" w:fill="auto"/>
            <w:hideMark/>
          </w:tcPr>
          <w:p w14:paraId="2EE55206" w14:textId="7FF7E454" w:rsidR="007773A4" w:rsidRPr="007773A4" w:rsidRDefault="007773A4" w:rsidP="007773A4">
            <w:pPr>
              <w:rPr>
                <w:rFonts w:asciiTheme="minorHAnsi" w:hAnsiTheme="minorHAnsi" w:cstheme="minorHAnsi"/>
                <w:sz w:val="16"/>
                <w:szCs w:val="16"/>
              </w:rPr>
            </w:pPr>
          </w:p>
        </w:tc>
      </w:tr>
      <w:tr w:rsidR="007773A4" w:rsidRPr="007773A4" w14:paraId="22637508" w14:textId="77777777" w:rsidTr="007773A4">
        <w:trPr>
          <w:trHeight w:val="36"/>
        </w:trPr>
        <w:tc>
          <w:tcPr>
            <w:tcW w:w="812" w:type="pct"/>
            <w:tcBorders>
              <w:top w:val="nil"/>
              <w:left w:val="single" w:sz="8" w:space="0" w:color="auto"/>
              <w:bottom w:val="single" w:sz="8" w:space="0" w:color="auto"/>
              <w:right w:val="single" w:sz="8" w:space="0" w:color="auto"/>
            </w:tcBorders>
            <w:shd w:val="clear" w:color="auto" w:fill="auto"/>
            <w:vAlign w:val="center"/>
            <w:hideMark/>
          </w:tcPr>
          <w:p w14:paraId="44B3EF8D"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4.29</w:t>
            </w:r>
          </w:p>
        </w:tc>
        <w:tc>
          <w:tcPr>
            <w:tcW w:w="617" w:type="pct"/>
            <w:tcBorders>
              <w:top w:val="nil"/>
              <w:left w:val="nil"/>
              <w:bottom w:val="single" w:sz="8" w:space="0" w:color="auto"/>
              <w:right w:val="single" w:sz="8" w:space="0" w:color="auto"/>
            </w:tcBorders>
            <w:shd w:val="clear" w:color="auto" w:fill="auto"/>
            <w:vAlign w:val="center"/>
            <w:hideMark/>
          </w:tcPr>
          <w:p w14:paraId="45F9D987"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595" w:type="pct"/>
            <w:tcBorders>
              <w:top w:val="nil"/>
              <w:left w:val="nil"/>
              <w:bottom w:val="single" w:sz="8" w:space="0" w:color="auto"/>
              <w:right w:val="single" w:sz="8" w:space="0" w:color="auto"/>
            </w:tcBorders>
            <w:shd w:val="clear" w:color="auto" w:fill="auto"/>
            <w:vAlign w:val="center"/>
            <w:hideMark/>
          </w:tcPr>
          <w:p w14:paraId="1D1AD9B3"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1.43</w:t>
            </w:r>
          </w:p>
        </w:tc>
        <w:tc>
          <w:tcPr>
            <w:tcW w:w="607" w:type="pct"/>
            <w:tcBorders>
              <w:top w:val="nil"/>
              <w:left w:val="nil"/>
              <w:bottom w:val="single" w:sz="8" w:space="0" w:color="auto"/>
              <w:right w:val="single" w:sz="8" w:space="0" w:color="auto"/>
            </w:tcBorders>
            <w:shd w:val="clear" w:color="auto" w:fill="auto"/>
            <w:vAlign w:val="center"/>
            <w:hideMark/>
          </w:tcPr>
          <w:p w14:paraId="2A1E70B6"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583" w:type="pct"/>
            <w:tcBorders>
              <w:top w:val="nil"/>
              <w:left w:val="nil"/>
              <w:bottom w:val="single" w:sz="8" w:space="0" w:color="auto"/>
              <w:right w:val="single" w:sz="8" w:space="0" w:color="auto"/>
            </w:tcBorders>
            <w:shd w:val="clear" w:color="auto" w:fill="auto"/>
            <w:vAlign w:val="center"/>
            <w:hideMark/>
          </w:tcPr>
          <w:p w14:paraId="6CD6B0EF"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620" w:type="pct"/>
            <w:tcBorders>
              <w:top w:val="nil"/>
              <w:left w:val="nil"/>
              <w:bottom w:val="single" w:sz="8" w:space="0" w:color="auto"/>
              <w:right w:val="single" w:sz="8" w:space="0" w:color="auto"/>
            </w:tcBorders>
            <w:shd w:val="clear" w:color="auto" w:fill="auto"/>
            <w:vAlign w:val="center"/>
            <w:hideMark/>
          </w:tcPr>
          <w:p w14:paraId="034EB138"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1.43</w:t>
            </w:r>
          </w:p>
        </w:tc>
        <w:tc>
          <w:tcPr>
            <w:tcW w:w="570" w:type="pct"/>
            <w:tcBorders>
              <w:top w:val="nil"/>
              <w:left w:val="nil"/>
              <w:bottom w:val="single" w:sz="8" w:space="0" w:color="auto"/>
              <w:right w:val="single" w:sz="8" w:space="0" w:color="auto"/>
            </w:tcBorders>
            <w:shd w:val="clear" w:color="auto" w:fill="auto"/>
            <w:vAlign w:val="center"/>
          </w:tcPr>
          <w:p w14:paraId="7CF17680" w14:textId="77777777" w:rsidR="007773A4" w:rsidRPr="007773A4" w:rsidRDefault="007773A4" w:rsidP="007773A4">
            <w:pPr>
              <w:jc w:val="center"/>
              <w:rPr>
                <w:rFonts w:asciiTheme="minorHAnsi" w:hAnsiTheme="minorHAnsi" w:cstheme="minorHAnsi"/>
                <w:b/>
                <w:bCs/>
                <w:sz w:val="16"/>
                <w:szCs w:val="16"/>
              </w:rPr>
            </w:pPr>
          </w:p>
        </w:tc>
        <w:tc>
          <w:tcPr>
            <w:tcW w:w="596" w:type="pct"/>
            <w:tcBorders>
              <w:top w:val="nil"/>
              <w:left w:val="nil"/>
              <w:bottom w:val="single" w:sz="8" w:space="0" w:color="auto"/>
              <w:right w:val="single" w:sz="8" w:space="0" w:color="auto"/>
            </w:tcBorders>
            <w:shd w:val="clear" w:color="auto" w:fill="auto"/>
            <w:vAlign w:val="center"/>
            <w:hideMark/>
          </w:tcPr>
          <w:p w14:paraId="565BFF71"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1.43</w:t>
            </w:r>
          </w:p>
        </w:tc>
      </w:tr>
      <w:tr w:rsidR="007773A4" w:rsidRPr="007773A4" w14:paraId="578B3EE5" w14:textId="77777777" w:rsidTr="007773A4">
        <w:trPr>
          <w:trHeight w:val="2320"/>
        </w:trPr>
        <w:tc>
          <w:tcPr>
            <w:tcW w:w="812" w:type="pct"/>
            <w:tcBorders>
              <w:top w:val="nil"/>
              <w:left w:val="single" w:sz="8" w:space="0" w:color="auto"/>
              <w:bottom w:val="single" w:sz="8" w:space="0" w:color="auto"/>
              <w:right w:val="single" w:sz="8" w:space="0" w:color="auto"/>
            </w:tcBorders>
            <w:shd w:val="clear" w:color="auto" w:fill="auto"/>
            <w:hideMark/>
          </w:tcPr>
          <w:p w14:paraId="5C8D8BB9" w14:textId="77777777" w:rsidR="007773A4" w:rsidRPr="007773A4" w:rsidRDefault="007773A4" w:rsidP="007773A4">
            <w:pPr>
              <w:rPr>
                <w:rFonts w:asciiTheme="minorHAnsi" w:hAnsiTheme="minorHAnsi" w:cstheme="minorHAnsi"/>
                <w:sz w:val="16"/>
                <w:szCs w:val="16"/>
              </w:rPr>
            </w:pPr>
            <w:bookmarkStart w:id="12" w:name="_Hlk523313909"/>
            <w:r w:rsidRPr="007773A4">
              <w:rPr>
                <w:rFonts w:asciiTheme="minorHAnsi" w:hAnsiTheme="minorHAnsi" w:cstheme="minorHAnsi"/>
                <w:b/>
                <w:bCs/>
                <w:sz w:val="16"/>
                <w:szCs w:val="16"/>
              </w:rPr>
              <w:t>DLI 6: Strengthen FGS transfers to FMS</w:t>
            </w:r>
            <w:r w:rsidRPr="007773A4">
              <w:rPr>
                <w:rFonts w:asciiTheme="minorHAnsi" w:hAnsiTheme="minorHAnsi" w:cstheme="minorHAnsi"/>
                <w:sz w:val="16"/>
                <w:szCs w:val="16"/>
              </w:rPr>
              <w:t xml:space="preserve">: </w:t>
            </w:r>
            <w:bookmarkEnd w:id="12"/>
            <w:r w:rsidRPr="007773A4">
              <w:rPr>
                <w:rFonts w:asciiTheme="minorHAnsi" w:hAnsiTheme="minorHAnsi" w:cstheme="minorHAnsi"/>
                <w:sz w:val="16"/>
                <w:szCs w:val="16"/>
              </w:rPr>
              <w:t>Select FMS have minimal sources of revenue in their local economy, and therefore difficulty in sustaining their operations, while FGS collects tax and customs, partly from goods and services that are destined for delivery in FMS. Historically, FGS transfers to FMS have been made on an ad hoc and unpredictable basis.</w:t>
            </w:r>
          </w:p>
        </w:tc>
        <w:tc>
          <w:tcPr>
            <w:tcW w:w="617" w:type="pct"/>
            <w:tcBorders>
              <w:top w:val="nil"/>
              <w:left w:val="nil"/>
              <w:bottom w:val="single" w:sz="8" w:space="0" w:color="auto"/>
              <w:right w:val="single" w:sz="8" w:space="0" w:color="auto"/>
            </w:tcBorders>
            <w:shd w:val="clear" w:color="auto" w:fill="auto"/>
            <w:hideMark/>
          </w:tcPr>
          <w:p w14:paraId="3D360D8D" w14:textId="72219DF4"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2018 fiscal transfers to FMS budgeted at US$12 million, with US$5.4 million for block transfers under 10701 Ministry of Interior and Federal Affairs (US$1.8 million each for GSS, SWSS, and Hirshabelle). Interior transfers transitioned from cash to Electronic Funds Transfer (EFT) direct to Recipient Single Treasury Accounts during 2018.</w:t>
            </w:r>
          </w:p>
        </w:tc>
        <w:tc>
          <w:tcPr>
            <w:tcW w:w="595" w:type="pct"/>
            <w:tcBorders>
              <w:top w:val="nil"/>
              <w:left w:val="nil"/>
              <w:bottom w:val="single" w:sz="8" w:space="0" w:color="auto"/>
              <w:right w:val="single" w:sz="8" w:space="0" w:color="auto"/>
            </w:tcBorders>
            <w:shd w:val="clear" w:color="auto" w:fill="auto"/>
            <w:hideMark/>
          </w:tcPr>
          <w:p w14:paraId="5DB2AFCA"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w:t>
            </w:r>
          </w:p>
        </w:tc>
        <w:tc>
          <w:tcPr>
            <w:tcW w:w="607" w:type="pct"/>
            <w:tcBorders>
              <w:top w:val="nil"/>
              <w:left w:val="nil"/>
              <w:bottom w:val="single" w:sz="8" w:space="0" w:color="auto"/>
              <w:right w:val="single" w:sz="8" w:space="0" w:color="auto"/>
            </w:tcBorders>
            <w:shd w:val="clear" w:color="auto" w:fill="auto"/>
            <w:hideMark/>
          </w:tcPr>
          <w:p w14:paraId="2B0EC2DC" w14:textId="581E2D0E" w:rsidR="007773A4" w:rsidRPr="007773A4" w:rsidRDefault="007773A4" w:rsidP="007773A4">
            <w:pPr>
              <w:rPr>
                <w:rFonts w:asciiTheme="minorHAnsi" w:hAnsiTheme="minorHAnsi" w:cstheme="minorHAnsi"/>
                <w:sz w:val="16"/>
                <w:szCs w:val="16"/>
              </w:rPr>
            </w:pPr>
          </w:p>
        </w:tc>
        <w:tc>
          <w:tcPr>
            <w:tcW w:w="583" w:type="pct"/>
            <w:tcBorders>
              <w:top w:val="nil"/>
              <w:left w:val="nil"/>
              <w:bottom w:val="single" w:sz="8" w:space="0" w:color="auto"/>
              <w:right w:val="single" w:sz="8" w:space="0" w:color="auto"/>
            </w:tcBorders>
            <w:shd w:val="clear" w:color="auto" w:fill="auto"/>
            <w:hideMark/>
          </w:tcPr>
          <w:p w14:paraId="705629AA"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w:t>
            </w:r>
          </w:p>
        </w:tc>
        <w:tc>
          <w:tcPr>
            <w:tcW w:w="620" w:type="pct"/>
            <w:tcBorders>
              <w:top w:val="nil"/>
              <w:left w:val="nil"/>
              <w:bottom w:val="single" w:sz="8" w:space="0" w:color="auto"/>
              <w:right w:val="single" w:sz="8" w:space="0" w:color="auto"/>
            </w:tcBorders>
            <w:shd w:val="clear" w:color="auto" w:fill="auto"/>
            <w:hideMark/>
          </w:tcPr>
          <w:p w14:paraId="3489645B" w14:textId="18B360AF" w:rsidR="007773A4" w:rsidRPr="007773A4" w:rsidRDefault="007773A4" w:rsidP="007773A4">
            <w:pPr>
              <w:rPr>
                <w:rFonts w:asciiTheme="minorHAnsi" w:hAnsiTheme="minorHAnsi" w:cstheme="minorHAnsi"/>
                <w:sz w:val="16"/>
                <w:szCs w:val="16"/>
              </w:rPr>
            </w:pPr>
          </w:p>
        </w:tc>
        <w:tc>
          <w:tcPr>
            <w:tcW w:w="570" w:type="pct"/>
            <w:tcBorders>
              <w:top w:val="nil"/>
              <w:left w:val="nil"/>
              <w:bottom w:val="single" w:sz="8" w:space="0" w:color="auto"/>
              <w:right w:val="single" w:sz="8" w:space="0" w:color="auto"/>
            </w:tcBorders>
            <w:shd w:val="clear" w:color="auto" w:fill="auto"/>
            <w:hideMark/>
          </w:tcPr>
          <w:p w14:paraId="15DBCBCE"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w:t>
            </w:r>
          </w:p>
        </w:tc>
        <w:tc>
          <w:tcPr>
            <w:tcW w:w="596" w:type="pct"/>
            <w:tcBorders>
              <w:top w:val="nil"/>
              <w:left w:val="nil"/>
              <w:bottom w:val="single" w:sz="8" w:space="0" w:color="auto"/>
              <w:right w:val="single" w:sz="8" w:space="0" w:color="auto"/>
            </w:tcBorders>
            <w:shd w:val="clear" w:color="auto" w:fill="auto"/>
            <w:hideMark/>
          </w:tcPr>
          <w:p w14:paraId="2C266206" w14:textId="3490D0F2" w:rsidR="007773A4" w:rsidRPr="007773A4" w:rsidRDefault="007773A4" w:rsidP="007773A4">
            <w:pPr>
              <w:rPr>
                <w:rFonts w:asciiTheme="minorHAnsi" w:hAnsiTheme="minorHAnsi" w:cstheme="minorHAnsi"/>
                <w:sz w:val="16"/>
                <w:szCs w:val="16"/>
              </w:rPr>
            </w:pPr>
          </w:p>
        </w:tc>
      </w:tr>
      <w:tr w:rsidR="007773A4" w:rsidRPr="007773A4" w14:paraId="74C41D04" w14:textId="77777777" w:rsidTr="007773A4">
        <w:trPr>
          <w:trHeight w:val="300"/>
        </w:trPr>
        <w:tc>
          <w:tcPr>
            <w:tcW w:w="812" w:type="pct"/>
            <w:tcBorders>
              <w:top w:val="nil"/>
              <w:left w:val="single" w:sz="8" w:space="0" w:color="auto"/>
              <w:bottom w:val="single" w:sz="8" w:space="0" w:color="auto"/>
              <w:right w:val="single" w:sz="8" w:space="0" w:color="auto"/>
            </w:tcBorders>
            <w:shd w:val="clear" w:color="auto" w:fill="auto"/>
            <w:vAlign w:val="center"/>
            <w:hideMark/>
          </w:tcPr>
          <w:p w14:paraId="13F8B24F"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lastRenderedPageBreak/>
              <w:t>4.29</w:t>
            </w:r>
          </w:p>
        </w:tc>
        <w:tc>
          <w:tcPr>
            <w:tcW w:w="617" w:type="pct"/>
            <w:tcBorders>
              <w:top w:val="nil"/>
              <w:left w:val="nil"/>
              <w:bottom w:val="single" w:sz="8" w:space="0" w:color="auto"/>
              <w:right w:val="single" w:sz="8" w:space="0" w:color="auto"/>
            </w:tcBorders>
            <w:shd w:val="clear" w:color="auto" w:fill="auto"/>
            <w:vAlign w:val="center"/>
            <w:hideMark/>
          </w:tcPr>
          <w:p w14:paraId="46DD2F61"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595" w:type="pct"/>
            <w:tcBorders>
              <w:top w:val="nil"/>
              <w:left w:val="nil"/>
              <w:bottom w:val="single" w:sz="8" w:space="0" w:color="auto"/>
              <w:right w:val="single" w:sz="8" w:space="0" w:color="auto"/>
            </w:tcBorders>
            <w:shd w:val="clear" w:color="auto" w:fill="auto"/>
            <w:vAlign w:val="center"/>
            <w:hideMark/>
          </w:tcPr>
          <w:p w14:paraId="2E6F7C4C"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607" w:type="pct"/>
            <w:tcBorders>
              <w:top w:val="nil"/>
              <w:left w:val="nil"/>
              <w:bottom w:val="single" w:sz="8" w:space="0" w:color="auto"/>
              <w:right w:val="single" w:sz="8" w:space="0" w:color="auto"/>
            </w:tcBorders>
            <w:shd w:val="clear" w:color="auto" w:fill="auto"/>
            <w:vAlign w:val="center"/>
            <w:hideMark/>
          </w:tcPr>
          <w:p w14:paraId="06004435"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1.43</w:t>
            </w:r>
          </w:p>
        </w:tc>
        <w:tc>
          <w:tcPr>
            <w:tcW w:w="583" w:type="pct"/>
            <w:tcBorders>
              <w:top w:val="nil"/>
              <w:left w:val="nil"/>
              <w:bottom w:val="single" w:sz="8" w:space="0" w:color="auto"/>
              <w:right w:val="single" w:sz="8" w:space="0" w:color="auto"/>
            </w:tcBorders>
            <w:shd w:val="clear" w:color="auto" w:fill="auto"/>
            <w:vAlign w:val="center"/>
            <w:hideMark/>
          </w:tcPr>
          <w:p w14:paraId="53455B80"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620" w:type="pct"/>
            <w:tcBorders>
              <w:top w:val="nil"/>
              <w:left w:val="nil"/>
              <w:bottom w:val="single" w:sz="8" w:space="0" w:color="auto"/>
              <w:right w:val="single" w:sz="8" w:space="0" w:color="auto"/>
            </w:tcBorders>
            <w:shd w:val="clear" w:color="auto" w:fill="auto"/>
            <w:vAlign w:val="center"/>
            <w:hideMark/>
          </w:tcPr>
          <w:p w14:paraId="26D42AD2"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1.43</w:t>
            </w:r>
          </w:p>
        </w:tc>
        <w:tc>
          <w:tcPr>
            <w:tcW w:w="570" w:type="pct"/>
            <w:tcBorders>
              <w:top w:val="nil"/>
              <w:left w:val="nil"/>
              <w:bottom w:val="single" w:sz="8" w:space="0" w:color="auto"/>
              <w:right w:val="single" w:sz="8" w:space="0" w:color="auto"/>
            </w:tcBorders>
            <w:shd w:val="clear" w:color="auto" w:fill="auto"/>
            <w:vAlign w:val="center"/>
            <w:hideMark/>
          </w:tcPr>
          <w:p w14:paraId="347B94A7"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596" w:type="pct"/>
            <w:tcBorders>
              <w:top w:val="nil"/>
              <w:left w:val="nil"/>
              <w:bottom w:val="single" w:sz="8" w:space="0" w:color="auto"/>
              <w:right w:val="single" w:sz="8" w:space="0" w:color="auto"/>
            </w:tcBorders>
            <w:shd w:val="clear" w:color="auto" w:fill="auto"/>
            <w:vAlign w:val="center"/>
            <w:hideMark/>
          </w:tcPr>
          <w:p w14:paraId="0402A6C2"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1.43</w:t>
            </w:r>
          </w:p>
        </w:tc>
      </w:tr>
      <w:tr w:rsidR="007773A4" w:rsidRPr="007773A4" w14:paraId="02244545" w14:textId="77777777" w:rsidTr="007773A4">
        <w:trPr>
          <w:trHeight w:val="2550"/>
        </w:trPr>
        <w:tc>
          <w:tcPr>
            <w:tcW w:w="812" w:type="pct"/>
            <w:tcBorders>
              <w:top w:val="nil"/>
              <w:left w:val="single" w:sz="8" w:space="0" w:color="auto"/>
              <w:bottom w:val="single" w:sz="8" w:space="0" w:color="auto"/>
              <w:right w:val="single" w:sz="8" w:space="0" w:color="auto"/>
            </w:tcBorders>
            <w:shd w:val="clear" w:color="auto" w:fill="auto"/>
            <w:hideMark/>
          </w:tcPr>
          <w:p w14:paraId="229A19AB" w14:textId="77777777" w:rsidR="007773A4" w:rsidRPr="007773A4" w:rsidRDefault="007773A4" w:rsidP="007773A4">
            <w:pPr>
              <w:rPr>
                <w:rFonts w:asciiTheme="minorHAnsi" w:hAnsiTheme="minorHAnsi" w:cstheme="minorHAnsi"/>
                <w:sz w:val="16"/>
                <w:szCs w:val="16"/>
              </w:rPr>
            </w:pPr>
            <w:bookmarkStart w:id="13" w:name="_Hlk523313917"/>
            <w:r w:rsidRPr="007773A4">
              <w:rPr>
                <w:rFonts w:asciiTheme="minorHAnsi" w:hAnsiTheme="minorHAnsi" w:cstheme="minorHAnsi"/>
                <w:b/>
                <w:bCs/>
                <w:sz w:val="16"/>
                <w:szCs w:val="16"/>
              </w:rPr>
              <w:t>DLI 7 Strengthen teacher proficiency testing</w:t>
            </w:r>
            <w:r w:rsidRPr="007773A4">
              <w:rPr>
                <w:rFonts w:asciiTheme="minorHAnsi" w:hAnsiTheme="minorHAnsi" w:cstheme="minorHAnsi"/>
                <w:b/>
                <w:sz w:val="16"/>
                <w:szCs w:val="16"/>
              </w:rPr>
              <w:t>:</w:t>
            </w:r>
            <w:r w:rsidRPr="007773A4">
              <w:rPr>
                <w:rFonts w:asciiTheme="minorHAnsi" w:hAnsiTheme="minorHAnsi" w:cstheme="minorHAnsi"/>
                <w:sz w:val="16"/>
                <w:szCs w:val="16"/>
              </w:rPr>
              <w:t xml:space="preserve"> </w:t>
            </w:r>
            <w:bookmarkEnd w:id="13"/>
            <w:r w:rsidRPr="007773A4">
              <w:rPr>
                <w:rFonts w:asciiTheme="minorHAnsi" w:hAnsiTheme="minorHAnsi" w:cstheme="minorHAnsi"/>
                <w:sz w:val="16"/>
                <w:szCs w:val="16"/>
              </w:rPr>
              <w:t>Lack of an established system for teacher proficiency testing hampers merit-based recruitment and promotion, and undermines the effective development and targeting of pre- and in-service teacher training</w:t>
            </w:r>
          </w:p>
        </w:tc>
        <w:tc>
          <w:tcPr>
            <w:tcW w:w="617" w:type="pct"/>
            <w:tcBorders>
              <w:top w:val="nil"/>
              <w:left w:val="nil"/>
              <w:bottom w:val="single" w:sz="8" w:space="0" w:color="auto"/>
              <w:right w:val="single" w:sz="8" w:space="0" w:color="auto"/>
            </w:tcBorders>
            <w:shd w:val="clear" w:color="auto" w:fill="auto"/>
            <w:hideMark/>
          </w:tcPr>
          <w:p w14:paraId="0CD7684D"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xml:space="preserve">FGS MoE has developed a basic teacher proficiency test, and plans to apply this test to the recruitment of 300 new government teachers. Existing teachers (financed through RCRF) have not been subject to any proficiency testing. </w:t>
            </w:r>
          </w:p>
        </w:tc>
        <w:tc>
          <w:tcPr>
            <w:tcW w:w="595" w:type="pct"/>
            <w:tcBorders>
              <w:top w:val="nil"/>
              <w:left w:val="nil"/>
              <w:bottom w:val="single" w:sz="8" w:space="0" w:color="auto"/>
              <w:right w:val="single" w:sz="8" w:space="0" w:color="auto"/>
            </w:tcBorders>
            <w:shd w:val="clear" w:color="auto" w:fill="auto"/>
            <w:hideMark/>
          </w:tcPr>
          <w:p w14:paraId="3EC907C6"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w:t>
            </w:r>
          </w:p>
        </w:tc>
        <w:tc>
          <w:tcPr>
            <w:tcW w:w="607" w:type="pct"/>
            <w:tcBorders>
              <w:top w:val="nil"/>
              <w:left w:val="nil"/>
              <w:bottom w:val="single" w:sz="8" w:space="0" w:color="auto"/>
              <w:right w:val="single" w:sz="8" w:space="0" w:color="auto"/>
            </w:tcBorders>
            <w:shd w:val="clear" w:color="auto" w:fill="auto"/>
            <w:hideMark/>
          </w:tcPr>
          <w:p w14:paraId="413BFA71" w14:textId="32ACB6AC"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xml:space="preserve"> </w:t>
            </w:r>
          </w:p>
        </w:tc>
        <w:tc>
          <w:tcPr>
            <w:tcW w:w="583" w:type="pct"/>
            <w:tcBorders>
              <w:top w:val="nil"/>
              <w:left w:val="nil"/>
              <w:bottom w:val="single" w:sz="8" w:space="0" w:color="auto"/>
              <w:right w:val="single" w:sz="8" w:space="0" w:color="auto"/>
            </w:tcBorders>
            <w:shd w:val="clear" w:color="auto" w:fill="auto"/>
            <w:hideMark/>
          </w:tcPr>
          <w:p w14:paraId="35038DC7"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w:t>
            </w:r>
          </w:p>
        </w:tc>
        <w:tc>
          <w:tcPr>
            <w:tcW w:w="620" w:type="pct"/>
            <w:tcBorders>
              <w:top w:val="nil"/>
              <w:left w:val="nil"/>
              <w:bottom w:val="single" w:sz="8" w:space="0" w:color="auto"/>
              <w:right w:val="single" w:sz="8" w:space="0" w:color="auto"/>
            </w:tcBorders>
            <w:shd w:val="clear" w:color="auto" w:fill="auto"/>
            <w:hideMark/>
          </w:tcPr>
          <w:p w14:paraId="6462E521" w14:textId="26E8A766" w:rsidR="007773A4" w:rsidRPr="007773A4" w:rsidRDefault="007773A4" w:rsidP="007773A4">
            <w:pPr>
              <w:rPr>
                <w:rFonts w:asciiTheme="minorHAnsi" w:hAnsiTheme="minorHAnsi" w:cstheme="minorHAnsi"/>
                <w:sz w:val="16"/>
                <w:szCs w:val="16"/>
              </w:rPr>
            </w:pPr>
          </w:p>
        </w:tc>
        <w:tc>
          <w:tcPr>
            <w:tcW w:w="570" w:type="pct"/>
            <w:tcBorders>
              <w:top w:val="nil"/>
              <w:left w:val="nil"/>
              <w:bottom w:val="single" w:sz="8" w:space="0" w:color="auto"/>
              <w:right w:val="single" w:sz="8" w:space="0" w:color="auto"/>
            </w:tcBorders>
            <w:shd w:val="clear" w:color="auto" w:fill="auto"/>
            <w:hideMark/>
          </w:tcPr>
          <w:p w14:paraId="40FD1B06" w14:textId="77777777" w:rsidR="007773A4" w:rsidRPr="007773A4" w:rsidRDefault="007773A4" w:rsidP="007773A4">
            <w:pPr>
              <w:rPr>
                <w:rFonts w:asciiTheme="minorHAnsi" w:hAnsiTheme="minorHAnsi" w:cstheme="minorHAnsi"/>
                <w:sz w:val="16"/>
                <w:szCs w:val="16"/>
              </w:rPr>
            </w:pPr>
            <w:r w:rsidRPr="007773A4">
              <w:rPr>
                <w:rFonts w:asciiTheme="minorHAnsi" w:hAnsiTheme="minorHAnsi" w:cstheme="minorHAnsi"/>
                <w:sz w:val="16"/>
                <w:szCs w:val="16"/>
              </w:rPr>
              <w:t> </w:t>
            </w:r>
          </w:p>
        </w:tc>
        <w:tc>
          <w:tcPr>
            <w:tcW w:w="596" w:type="pct"/>
            <w:tcBorders>
              <w:top w:val="nil"/>
              <w:left w:val="nil"/>
              <w:bottom w:val="single" w:sz="8" w:space="0" w:color="auto"/>
              <w:right w:val="single" w:sz="8" w:space="0" w:color="auto"/>
            </w:tcBorders>
            <w:shd w:val="clear" w:color="auto" w:fill="auto"/>
            <w:hideMark/>
          </w:tcPr>
          <w:p w14:paraId="49028E92" w14:textId="466AAF66" w:rsidR="007773A4" w:rsidRPr="007773A4" w:rsidRDefault="007773A4" w:rsidP="007773A4">
            <w:pPr>
              <w:rPr>
                <w:rFonts w:asciiTheme="minorHAnsi" w:hAnsiTheme="minorHAnsi" w:cstheme="minorHAnsi"/>
                <w:sz w:val="16"/>
                <w:szCs w:val="16"/>
              </w:rPr>
            </w:pPr>
          </w:p>
        </w:tc>
      </w:tr>
      <w:tr w:rsidR="007773A4" w:rsidRPr="007773A4" w14:paraId="6FB8E3A3" w14:textId="77777777" w:rsidTr="007773A4">
        <w:trPr>
          <w:trHeight w:val="35"/>
        </w:trPr>
        <w:tc>
          <w:tcPr>
            <w:tcW w:w="812" w:type="pct"/>
            <w:tcBorders>
              <w:top w:val="nil"/>
              <w:left w:val="single" w:sz="8" w:space="0" w:color="auto"/>
              <w:bottom w:val="single" w:sz="8" w:space="0" w:color="auto"/>
              <w:right w:val="single" w:sz="8" w:space="0" w:color="auto"/>
            </w:tcBorders>
            <w:shd w:val="clear" w:color="000000" w:fill="F2F2F2"/>
            <w:vAlign w:val="center"/>
            <w:hideMark/>
          </w:tcPr>
          <w:p w14:paraId="44820D75"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4.29</w:t>
            </w:r>
          </w:p>
        </w:tc>
        <w:tc>
          <w:tcPr>
            <w:tcW w:w="617" w:type="pct"/>
            <w:tcBorders>
              <w:top w:val="nil"/>
              <w:left w:val="nil"/>
              <w:bottom w:val="single" w:sz="8" w:space="0" w:color="auto"/>
              <w:right w:val="single" w:sz="8" w:space="0" w:color="auto"/>
            </w:tcBorders>
            <w:shd w:val="clear" w:color="000000" w:fill="F2F2F2"/>
            <w:vAlign w:val="center"/>
            <w:hideMark/>
          </w:tcPr>
          <w:p w14:paraId="4C4B0D7C"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595" w:type="pct"/>
            <w:tcBorders>
              <w:top w:val="nil"/>
              <w:left w:val="nil"/>
              <w:bottom w:val="single" w:sz="8" w:space="0" w:color="auto"/>
              <w:right w:val="single" w:sz="8" w:space="0" w:color="auto"/>
            </w:tcBorders>
            <w:shd w:val="clear" w:color="000000" w:fill="F2F2F2"/>
            <w:vAlign w:val="center"/>
            <w:hideMark/>
          </w:tcPr>
          <w:p w14:paraId="76511F91"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607" w:type="pct"/>
            <w:tcBorders>
              <w:top w:val="nil"/>
              <w:left w:val="nil"/>
              <w:bottom w:val="single" w:sz="8" w:space="0" w:color="auto"/>
              <w:right w:val="single" w:sz="8" w:space="0" w:color="auto"/>
            </w:tcBorders>
            <w:shd w:val="clear" w:color="000000" w:fill="F2F2F2"/>
            <w:vAlign w:val="center"/>
            <w:hideMark/>
          </w:tcPr>
          <w:p w14:paraId="2134EF7E"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1.43</w:t>
            </w:r>
          </w:p>
        </w:tc>
        <w:tc>
          <w:tcPr>
            <w:tcW w:w="583" w:type="pct"/>
            <w:tcBorders>
              <w:top w:val="nil"/>
              <w:left w:val="nil"/>
              <w:bottom w:val="single" w:sz="8" w:space="0" w:color="auto"/>
              <w:right w:val="single" w:sz="8" w:space="0" w:color="auto"/>
            </w:tcBorders>
            <w:shd w:val="clear" w:color="000000" w:fill="F2F2F2"/>
            <w:vAlign w:val="center"/>
            <w:hideMark/>
          </w:tcPr>
          <w:p w14:paraId="06D48B52"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620" w:type="pct"/>
            <w:tcBorders>
              <w:top w:val="nil"/>
              <w:left w:val="nil"/>
              <w:bottom w:val="single" w:sz="8" w:space="0" w:color="auto"/>
              <w:right w:val="single" w:sz="8" w:space="0" w:color="auto"/>
            </w:tcBorders>
            <w:shd w:val="clear" w:color="000000" w:fill="F2F2F2"/>
            <w:vAlign w:val="center"/>
            <w:hideMark/>
          </w:tcPr>
          <w:p w14:paraId="22F17466"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1.43</w:t>
            </w:r>
          </w:p>
        </w:tc>
        <w:tc>
          <w:tcPr>
            <w:tcW w:w="570" w:type="pct"/>
            <w:tcBorders>
              <w:top w:val="nil"/>
              <w:left w:val="nil"/>
              <w:bottom w:val="single" w:sz="8" w:space="0" w:color="auto"/>
              <w:right w:val="single" w:sz="8" w:space="0" w:color="auto"/>
            </w:tcBorders>
            <w:shd w:val="clear" w:color="000000" w:fill="F2F2F2"/>
            <w:vAlign w:val="center"/>
            <w:hideMark/>
          </w:tcPr>
          <w:p w14:paraId="240B3BF5"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 </w:t>
            </w:r>
          </w:p>
        </w:tc>
        <w:tc>
          <w:tcPr>
            <w:tcW w:w="596" w:type="pct"/>
            <w:tcBorders>
              <w:top w:val="nil"/>
              <w:left w:val="nil"/>
              <w:bottom w:val="single" w:sz="8" w:space="0" w:color="auto"/>
              <w:right w:val="single" w:sz="8" w:space="0" w:color="auto"/>
            </w:tcBorders>
            <w:shd w:val="clear" w:color="000000" w:fill="F2F2F2"/>
            <w:vAlign w:val="center"/>
            <w:hideMark/>
          </w:tcPr>
          <w:p w14:paraId="5E07E3BE"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1.43</w:t>
            </w:r>
          </w:p>
        </w:tc>
      </w:tr>
      <w:tr w:rsidR="007773A4" w:rsidRPr="007773A4" w14:paraId="7FED3AF8" w14:textId="77777777" w:rsidTr="007773A4">
        <w:trPr>
          <w:trHeight w:val="35"/>
        </w:trPr>
        <w:tc>
          <w:tcPr>
            <w:tcW w:w="812" w:type="pct"/>
            <w:tcBorders>
              <w:top w:val="nil"/>
              <w:left w:val="single" w:sz="8" w:space="0" w:color="auto"/>
              <w:bottom w:val="single" w:sz="8" w:space="0" w:color="auto"/>
              <w:right w:val="single" w:sz="8" w:space="0" w:color="auto"/>
            </w:tcBorders>
            <w:shd w:val="clear" w:color="auto" w:fill="auto"/>
            <w:vAlign w:val="center"/>
            <w:hideMark/>
          </w:tcPr>
          <w:p w14:paraId="2301C879"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30.00</w:t>
            </w:r>
          </w:p>
        </w:tc>
        <w:tc>
          <w:tcPr>
            <w:tcW w:w="617" w:type="pct"/>
            <w:tcBorders>
              <w:top w:val="nil"/>
              <w:left w:val="nil"/>
              <w:bottom w:val="single" w:sz="8" w:space="0" w:color="auto"/>
              <w:right w:val="single" w:sz="8" w:space="0" w:color="auto"/>
            </w:tcBorders>
            <w:shd w:val="clear" w:color="auto" w:fill="auto"/>
            <w:vAlign w:val="center"/>
            <w:hideMark/>
          </w:tcPr>
          <w:p w14:paraId="16747EEF" w14:textId="77777777" w:rsidR="007773A4" w:rsidRPr="007773A4" w:rsidRDefault="007773A4" w:rsidP="007773A4">
            <w:pPr>
              <w:jc w:val="center"/>
              <w:rPr>
                <w:rFonts w:asciiTheme="minorHAnsi" w:hAnsiTheme="minorHAnsi" w:cstheme="minorHAnsi"/>
                <w:b/>
                <w:bCs/>
                <w:sz w:val="16"/>
                <w:szCs w:val="16"/>
                <w:u w:val="single"/>
              </w:rPr>
            </w:pPr>
          </w:p>
        </w:tc>
        <w:tc>
          <w:tcPr>
            <w:tcW w:w="595" w:type="pct"/>
            <w:tcBorders>
              <w:top w:val="nil"/>
              <w:left w:val="nil"/>
              <w:bottom w:val="single" w:sz="8" w:space="0" w:color="auto"/>
              <w:right w:val="single" w:sz="8" w:space="0" w:color="auto"/>
            </w:tcBorders>
            <w:shd w:val="clear" w:color="auto" w:fill="auto"/>
            <w:vAlign w:val="center"/>
            <w:hideMark/>
          </w:tcPr>
          <w:p w14:paraId="0E365A6A"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5.71</w:t>
            </w:r>
          </w:p>
        </w:tc>
        <w:tc>
          <w:tcPr>
            <w:tcW w:w="607" w:type="pct"/>
            <w:tcBorders>
              <w:top w:val="nil"/>
              <w:left w:val="nil"/>
              <w:bottom w:val="single" w:sz="8" w:space="0" w:color="auto"/>
              <w:right w:val="single" w:sz="8" w:space="0" w:color="auto"/>
            </w:tcBorders>
            <w:shd w:val="clear" w:color="auto" w:fill="auto"/>
            <w:vAlign w:val="center"/>
            <w:hideMark/>
          </w:tcPr>
          <w:p w14:paraId="563741D7"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4.29</w:t>
            </w:r>
          </w:p>
        </w:tc>
        <w:tc>
          <w:tcPr>
            <w:tcW w:w="583" w:type="pct"/>
            <w:tcBorders>
              <w:top w:val="nil"/>
              <w:left w:val="nil"/>
              <w:bottom w:val="single" w:sz="8" w:space="0" w:color="auto"/>
              <w:right w:val="single" w:sz="8" w:space="0" w:color="auto"/>
            </w:tcBorders>
            <w:shd w:val="clear" w:color="auto" w:fill="auto"/>
            <w:vAlign w:val="center"/>
            <w:hideMark/>
          </w:tcPr>
          <w:p w14:paraId="20E5AAD3"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4.29</w:t>
            </w:r>
          </w:p>
        </w:tc>
        <w:tc>
          <w:tcPr>
            <w:tcW w:w="620" w:type="pct"/>
            <w:tcBorders>
              <w:top w:val="nil"/>
              <w:left w:val="nil"/>
              <w:bottom w:val="single" w:sz="8" w:space="0" w:color="auto"/>
              <w:right w:val="single" w:sz="8" w:space="0" w:color="auto"/>
            </w:tcBorders>
            <w:shd w:val="clear" w:color="auto" w:fill="auto"/>
            <w:vAlign w:val="center"/>
            <w:hideMark/>
          </w:tcPr>
          <w:p w14:paraId="25D732B3"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7.15</w:t>
            </w:r>
          </w:p>
        </w:tc>
        <w:tc>
          <w:tcPr>
            <w:tcW w:w="570" w:type="pct"/>
            <w:tcBorders>
              <w:top w:val="nil"/>
              <w:left w:val="nil"/>
              <w:bottom w:val="single" w:sz="8" w:space="0" w:color="auto"/>
              <w:right w:val="single" w:sz="8" w:space="0" w:color="auto"/>
            </w:tcBorders>
            <w:shd w:val="clear" w:color="auto" w:fill="auto"/>
            <w:vAlign w:val="center"/>
            <w:hideMark/>
          </w:tcPr>
          <w:p w14:paraId="4BC0D2E5"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4.29</w:t>
            </w:r>
          </w:p>
        </w:tc>
        <w:tc>
          <w:tcPr>
            <w:tcW w:w="596" w:type="pct"/>
            <w:tcBorders>
              <w:top w:val="nil"/>
              <w:left w:val="nil"/>
              <w:bottom w:val="single" w:sz="8" w:space="0" w:color="auto"/>
              <w:right w:val="single" w:sz="8" w:space="0" w:color="auto"/>
            </w:tcBorders>
            <w:shd w:val="clear" w:color="auto" w:fill="auto"/>
            <w:vAlign w:val="center"/>
            <w:hideMark/>
          </w:tcPr>
          <w:p w14:paraId="3F677B2D"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4.29</w:t>
            </w:r>
          </w:p>
        </w:tc>
      </w:tr>
      <w:tr w:rsidR="007773A4" w:rsidRPr="007773A4" w14:paraId="58307A20" w14:textId="77777777" w:rsidTr="007773A4">
        <w:trPr>
          <w:trHeight w:val="35"/>
        </w:trPr>
        <w:tc>
          <w:tcPr>
            <w:tcW w:w="812" w:type="pct"/>
            <w:tcBorders>
              <w:top w:val="nil"/>
              <w:left w:val="single" w:sz="8" w:space="0" w:color="auto"/>
              <w:bottom w:val="single" w:sz="8" w:space="0" w:color="auto"/>
              <w:right w:val="single" w:sz="8" w:space="0" w:color="auto"/>
            </w:tcBorders>
            <w:shd w:val="clear" w:color="000000" w:fill="F2F2F2"/>
            <w:vAlign w:val="center"/>
            <w:hideMark/>
          </w:tcPr>
          <w:p w14:paraId="4AFC4330" w14:textId="77777777" w:rsidR="007773A4" w:rsidRPr="007773A4" w:rsidRDefault="007773A4" w:rsidP="007773A4">
            <w:pPr>
              <w:jc w:val="center"/>
              <w:rPr>
                <w:rFonts w:asciiTheme="minorHAnsi" w:hAnsiTheme="minorHAnsi" w:cstheme="minorHAnsi"/>
                <w:b/>
                <w:bCs/>
                <w:sz w:val="16"/>
                <w:szCs w:val="16"/>
              </w:rPr>
            </w:pPr>
          </w:p>
        </w:tc>
        <w:tc>
          <w:tcPr>
            <w:tcW w:w="617" w:type="pct"/>
            <w:tcBorders>
              <w:top w:val="nil"/>
              <w:left w:val="nil"/>
              <w:bottom w:val="single" w:sz="8" w:space="0" w:color="auto"/>
              <w:right w:val="single" w:sz="8" w:space="0" w:color="auto"/>
            </w:tcBorders>
            <w:shd w:val="clear" w:color="000000" w:fill="F2F2F2"/>
            <w:vAlign w:val="center"/>
            <w:hideMark/>
          </w:tcPr>
          <w:p w14:paraId="4AAA7575" w14:textId="77777777" w:rsidR="007773A4" w:rsidRPr="007773A4" w:rsidRDefault="007773A4" w:rsidP="007773A4">
            <w:pPr>
              <w:jc w:val="center"/>
              <w:rPr>
                <w:rFonts w:asciiTheme="minorHAnsi" w:hAnsiTheme="minorHAnsi" w:cstheme="minorHAnsi"/>
                <w:b/>
                <w:bCs/>
                <w:sz w:val="16"/>
                <w:szCs w:val="16"/>
                <w:u w:val="single"/>
              </w:rPr>
            </w:pPr>
          </w:p>
        </w:tc>
        <w:tc>
          <w:tcPr>
            <w:tcW w:w="1202" w:type="pct"/>
            <w:gridSpan w:val="2"/>
            <w:tcBorders>
              <w:top w:val="single" w:sz="8" w:space="0" w:color="auto"/>
              <w:left w:val="nil"/>
              <w:bottom w:val="single" w:sz="8" w:space="0" w:color="auto"/>
              <w:right w:val="single" w:sz="8" w:space="0" w:color="000000"/>
            </w:tcBorders>
            <w:shd w:val="clear" w:color="000000" w:fill="F2F2F2"/>
            <w:noWrap/>
            <w:vAlign w:val="bottom"/>
            <w:hideMark/>
          </w:tcPr>
          <w:p w14:paraId="0868EE5C"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10.00</w:t>
            </w:r>
          </w:p>
        </w:tc>
        <w:tc>
          <w:tcPr>
            <w:tcW w:w="1203" w:type="pct"/>
            <w:gridSpan w:val="2"/>
            <w:tcBorders>
              <w:top w:val="single" w:sz="8" w:space="0" w:color="auto"/>
              <w:left w:val="nil"/>
              <w:bottom w:val="single" w:sz="8" w:space="0" w:color="auto"/>
              <w:right w:val="single" w:sz="8" w:space="0" w:color="000000"/>
            </w:tcBorders>
            <w:shd w:val="clear" w:color="000000" w:fill="F2F2F2"/>
            <w:noWrap/>
            <w:vAlign w:val="bottom"/>
            <w:hideMark/>
          </w:tcPr>
          <w:p w14:paraId="3C8D05A1"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11.44</w:t>
            </w:r>
          </w:p>
        </w:tc>
        <w:tc>
          <w:tcPr>
            <w:tcW w:w="1166" w:type="pct"/>
            <w:gridSpan w:val="2"/>
            <w:tcBorders>
              <w:top w:val="single" w:sz="8" w:space="0" w:color="auto"/>
              <w:left w:val="nil"/>
              <w:bottom w:val="single" w:sz="8" w:space="0" w:color="auto"/>
              <w:right w:val="single" w:sz="8" w:space="0" w:color="000000"/>
            </w:tcBorders>
            <w:shd w:val="clear" w:color="000000" w:fill="F2F2F2"/>
            <w:noWrap/>
            <w:vAlign w:val="bottom"/>
            <w:hideMark/>
          </w:tcPr>
          <w:p w14:paraId="091DD2E6" w14:textId="77777777" w:rsidR="007773A4" w:rsidRPr="007773A4" w:rsidRDefault="007773A4" w:rsidP="007773A4">
            <w:pPr>
              <w:jc w:val="center"/>
              <w:rPr>
                <w:rFonts w:asciiTheme="minorHAnsi" w:hAnsiTheme="minorHAnsi" w:cstheme="minorHAnsi"/>
                <w:b/>
                <w:bCs/>
                <w:sz w:val="16"/>
                <w:szCs w:val="16"/>
              </w:rPr>
            </w:pPr>
            <w:r w:rsidRPr="007773A4">
              <w:rPr>
                <w:rFonts w:asciiTheme="minorHAnsi" w:hAnsiTheme="minorHAnsi" w:cstheme="minorHAnsi"/>
                <w:b/>
                <w:bCs/>
                <w:sz w:val="16"/>
                <w:szCs w:val="16"/>
              </w:rPr>
              <w:t>8.58</w:t>
            </w:r>
          </w:p>
        </w:tc>
      </w:tr>
    </w:tbl>
    <w:p w14:paraId="56C9FCC8" w14:textId="77777777" w:rsidR="007773A4" w:rsidRPr="007773A4" w:rsidRDefault="007773A4" w:rsidP="007773A4">
      <w:pPr>
        <w:rPr>
          <w:rFonts w:asciiTheme="minorHAnsi" w:hAnsiTheme="minorHAnsi" w:cstheme="minorHAnsi"/>
        </w:rPr>
      </w:pPr>
    </w:p>
    <w:p w14:paraId="1DF378B9" w14:textId="77777777" w:rsidR="007773A4" w:rsidRPr="007773A4" w:rsidRDefault="007773A4" w:rsidP="007773A4">
      <w:pPr>
        <w:ind w:left="-630"/>
        <w:rPr>
          <w:rFonts w:asciiTheme="minorHAnsi" w:hAnsiTheme="minorHAnsi" w:cstheme="minorHAnsi"/>
          <w:b/>
          <w:bCs/>
          <w:color w:val="7F7F7F" w:themeColor="text1" w:themeTint="80"/>
          <w:sz w:val="22"/>
          <w:szCs w:val="22"/>
        </w:rPr>
      </w:pPr>
    </w:p>
    <w:p w14:paraId="3D96B4DB" w14:textId="77777777" w:rsidR="00B16F23" w:rsidRDefault="00B16F23" w:rsidP="00B16F23">
      <w:pPr>
        <w:rPr>
          <w:rFonts w:asciiTheme="minorHAnsi" w:hAnsiTheme="minorHAnsi"/>
          <w:bCs/>
          <w:sz w:val="22"/>
          <w:szCs w:val="22"/>
        </w:rPr>
      </w:pPr>
    </w:p>
    <w:p w14:paraId="59A50A27" w14:textId="77777777" w:rsidR="00B16F23" w:rsidRDefault="00B16F23" w:rsidP="00B16F23">
      <w:pPr>
        <w:rPr>
          <w:rFonts w:asciiTheme="minorHAnsi" w:hAnsiTheme="minorHAnsi"/>
          <w:bCs/>
          <w:sz w:val="22"/>
          <w:szCs w:val="22"/>
        </w:rPr>
      </w:pPr>
    </w:p>
    <w:p w14:paraId="2B8356C8" w14:textId="77777777" w:rsidR="00B16F23" w:rsidRDefault="00B16F23" w:rsidP="00B16F23">
      <w:pPr>
        <w:rPr>
          <w:rFonts w:asciiTheme="minorHAnsi" w:hAnsiTheme="minorHAnsi"/>
          <w:bCs/>
          <w:sz w:val="22"/>
          <w:szCs w:val="22"/>
        </w:rPr>
      </w:pPr>
    </w:p>
    <w:p w14:paraId="0F1CFDA3" w14:textId="29C5DE65" w:rsidR="00B16F23" w:rsidRPr="00044B78" w:rsidRDefault="00B16F23" w:rsidP="00B16F23">
      <w:pPr>
        <w:jc w:val="center"/>
        <w:rPr>
          <w:rFonts w:asciiTheme="minorHAnsi" w:hAnsiTheme="minorHAnsi"/>
          <w:b/>
          <w:bCs/>
          <w:sz w:val="24"/>
          <w:szCs w:val="24"/>
        </w:rPr>
      </w:pPr>
      <w:r w:rsidRPr="00044B78">
        <w:rPr>
          <w:rFonts w:asciiTheme="minorHAnsi" w:hAnsiTheme="minorHAnsi"/>
          <w:b/>
          <w:bCs/>
          <w:sz w:val="24"/>
          <w:szCs w:val="24"/>
        </w:rPr>
        <w:t>Annex B: RCRF Restructuring DLI’s introduced in January 2021</w:t>
      </w:r>
    </w:p>
    <w:p w14:paraId="59A207F3" w14:textId="287F1375" w:rsidR="00B16F23" w:rsidRDefault="00B16F23" w:rsidP="00B16F23">
      <w:pPr>
        <w:rPr>
          <w:rFonts w:asciiTheme="minorHAnsi" w:hAnsiTheme="minorHAnsi"/>
          <w:bCs/>
          <w:sz w:val="22"/>
          <w:szCs w:val="22"/>
        </w:rPr>
      </w:pPr>
    </w:p>
    <w:tbl>
      <w:tblPr>
        <w:tblStyle w:val="TableGrid1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ook w:val="04A0" w:firstRow="1" w:lastRow="0" w:firstColumn="1" w:lastColumn="0" w:noHBand="0" w:noVBand="1"/>
      </w:tblPr>
      <w:tblGrid>
        <w:gridCol w:w="12960"/>
      </w:tblGrid>
      <w:tr w:rsidR="00B16F23" w14:paraId="7FEDA4D1" w14:textId="77777777" w:rsidTr="00C608D6">
        <w:trPr>
          <w:trHeight w:val="117"/>
        </w:trPr>
        <w:tc>
          <w:tcPr>
            <w:tcW w:w="5000" w:type="pct"/>
            <w:shd w:val="clear" w:color="auto" w:fill="F7F7F7"/>
            <w:vAlign w:val="center"/>
          </w:tcPr>
          <w:p w14:paraId="5EFBE0D8" w14:textId="22DA4EC6" w:rsidR="00B16F23" w:rsidRPr="00955DC3" w:rsidRDefault="00B16F23" w:rsidP="00C608D6">
            <w:pPr>
              <w:pStyle w:val="NoSpacing"/>
              <w:widowControl w:val="0"/>
              <w:autoSpaceDE w:val="0"/>
              <w:autoSpaceDN w:val="0"/>
              <w:adjustRightInd w:val="0"/>
              <w:jc w:val="center"/>
              <w:outlineLvl w:val="0"/>
              <w:rPr>
                <w:b/>
                <w:bCs/>
                <w:noProof/>
                <w:sz w:val="24"/>
                <w:szCs w:val="24"/>
              </w:rPr>
            </w:pPr>
            <w:r w:rsidRPr="00955DC3">
              <w:rPr>
                <w:rFonts w:cstheme="minorHAnsi"/>
                <w:b/>
                <w:bCs/>
                <w:sz w:val="22"/>
                <w:szCs w:val="22"/>
              </w:rPr>
              <w:t xml:space="preserve">Annex </w:t>
            </w:r>
            <w:r w:rsidR="00044B78">
              <w:rPr>
                <w:rFonts w:cstheme="minorHAnsi"/>
                <w:b/>
                <w:bCs/>
                <w:sz w:val="22"/>
                <w:szCs w:val="22"/>
              </w:rPr>
              <w:t>B-</w:t>
            </w:r>
            <w:r w:rsidRPr="00955DC3">
              <w:rPr>
                <w:rFonts w:cstheme="minorHAnsi"/>
                <w:b/>
                <w:bCs/>
                <w:sz w:val="22"/>
                <w:szCs w:val="22"/>
              </w:rPr>
              <w:t>1: RCRF Policy Benchmarks, 2021</w:t>
            </w:r>
          </w:p>
        </w:tc>
      </w:tr>
    </w:tbl>
    <w:tbl>
      <w:tblPr>
        <w:tblStyle w:val="TableGrid"/>
        <w:tblW w:w="5000" w:type="pct"/>
        <w:tblLook w:val="04A0" w:firstRow="1" w:lastRow="0" w:firstColumn="1" w:lastColumn="0" w:noHBand="0" w:noVBand="1"/>
      </w:tblPr>
      <w:tblGrid>
        <w:gridCol w:w="3219"/>
        <w:gridCol w:w="2857"/>
        <w:gridCol w:w="2986"/>
        <w:gridCol w:w="3888"/>
      </w:tblGrid>
      <w:tr w:rsidR="00B16F23" w14:paraId="388E1DF4" w14:textId="77777777" w:rsidTr="00C608D6">
        <w:trPr>
          <w:trHeight w:val="20"/>
          <w:tblHeader/>
        </w:trPr>
        <w:tc>
          <w:tcPr>
            <w:tcW w:w="1243" w:type="pct"/>
          </w:tcPr>
          <w:p w14:paraId="1ADFEFB9" w14:textId="77777777" w:rsidR="00B16F23" w:rsidRPr="00205204" w:rsidRDefault="00B16F23" w:rsidP="00C608D6">
            <w:pPr>
              <w:jc w:val="center"/>
              <w:rPr>
                <w:rFonts w:asciiTheme="minorHAnsi" w:hAnsiTheme="minorHAnsi" w:cstheme="minorHAnsi"/>
                <w:b/>
                <w:bCs/>
              </w:rPr>
            </w:pPr>
            <w:r w:rsidRPr="00205204">
              <w:rPr>
                <w:rFonts w:asciiTheme="minorHAnsi" w:hAnsiTheme="minorHAnsi" w:cstheme="minorHAnsi"/>
                <w:b/>
                <w:bCs/>
              </w:rPr>
              <w:t>DLI</w:t>
            </w:r>
          </w:p>
        </w:tc>
        <w:tc>
          <w:tcPr>
            <w:tcW w:w="3757" w:type="pct"/>
            <w:gridSpan w:val="3"/>
          </w:tcPr>
          <w:p w14:paraId="1BFC4920" w14:textId="77777777" w:rsidR="00B16F23" w:rsidRPr="00205204" w:rsidRDefault="00B16F23" w:rsidP="00C608D6">
            <w:pPr>
              <w:jc w:val="center"/>
              <w:rPr>
                <w:rFonts w:asciiTheme="minorHAnsi" w:hAnsiTheme="minorHAnsi" w:cstheme="minorHAnsi"/>
              </w:rPr>
            </w:pPr>
            <w:r w:rsidRPr="00205204">
              <w:rPr>
                <w:rFonts w:asciiTheme="minorHAnsi" w:hAnsiTheme="minorHAnsi" w:cstheme="minorHAnsi"/>
                <w:b/>
                <w:bCs/>
              </w:rPr>
              <w:t xml:space="preserve">Results Indicators </w:t>
            </w:r>
          </w:p>
        </w:tc>
      </w:tr>
      <w:tr w:rsidR="00B16F23" w14:paraId="795503CB" w14:textId="77777777" w:rsidTr="00C608D6">
        <w:trPr>
          <w:trHeight w:val="20"/>
          <w:tblHeader/>
        </w:trPr>
        <w:tc>
          <w:tcPr>
            <w:tcW w:w="1243" w:type="pct"/>
          </w:tcPr>
          <w:p w14:paraId="3F1FDE80" w14:textId="77777777" w:rsidR="00B16F23" w:rsidRPr="00205204" w:rsidRDefault="00B16F23" w:rsidP="00C608D6">
            <w:pPr>
              <w:jc w:val="center"/>
              <w:rPr>
                <w:rFonts w:asciiTheme="minorHAnsi" w:hAnsiTheme="minorHAnsi" w:cstheme="minorHAnsi"/>
                <w:b/>
                <w:bCs/>
              </w:rPr>
            </w:pPr>
            <w:r w:rsidRPr="00205204">
              <w:rPr>
                <w:rFonts w:asciiTheme="minorHAnsi" w:hAnsiTheme="minorHAnsi" w:cstheme="minorHAnsi"/>
                <w:b/>
                <w:bCs/>
              </w:rPr>
              <w:t>Time Line</w:t>
            </w:r>
          </w:p>
        </w:tc>
        <w:tc>
          <w:tcPr>
            <w:tcW w:w="1103" w:type="pct"/>
          </w:tcPr>
          <w:p w14:paraId="44A7AB91" w14:textId="77777777" w:rsidR="00B16F23" w:rsidRPr="00205204" w:rsidRDefault="00B16F23" w:rsidP="00C608D6">
            <w:pPr>
              <w:jc w:val="center"/>
              <w:rPr>
                <w:rFonts w:asciiTheme="minorHAnsi" w:hAnsiTheme="minorHAnsi" w:cstheme="minorHAnsi"/>
                <w:b/>
                <w:bCs/>
              </w:rPr>
            </w:pPr>
            <w:r w:rsidRPr="00205204">
              <w:rPr>
                <w:rFonts w:asciiTheme="minorHAnsi" w:hAnsiTheme="minorHAnsi" w:cstheme="minorHAnsi"/>
                <w:b/>
                <w:bCs/>
              </w:rPr>
              <w:t>February 2021</w:t>
            </w:r>
          </w:p>
        </w:tc>
        <w:tc>
          <w:tcPr>
            <w:tcW w:w="1153" w:type="pct"/>
          </w:tcPr>
          <w:p w14:paraId="6F6DB60F" w14:textId="77777777" w:rsidR="00B16F23" w:rsidRPr="00205204" w:rsidRDefault="00B16F23" w:rsidP="00C608D6">
            <w:pPr>
              <w:jc w:val="center"/>
              <w:rPr>
                <w:rFonts w:asciiTheme="minorHAnsi" w:hAnsiTheme="minorHAnsi" w:cstheme="minorHAnsi"/>
                <w:b/>
                <w:bCs/>
              </w:rPr>
            </w:pPr>
            <w:r w:rsidRPr="00205204">
              <w:rPr>
                <w:rFonts w:asciiTheme="minorHAnsi" w:hAnsiTheme="minorHAnsi" w:cstheme="minorHAnsi"/>
                <w:b/>
                <w:bCs/>
              </w:rPr>
              <w:t>April 2021</w:t>
            </w:r>
          </w:p>
        </w:tc>
        <w:tc>
          <w:tcPr>
            <w:tcW w:w="1501" w:type="pct"/>
          </w:tcPr>
          <w:p w14:paraId="5EEE5C3A" w14:textId="77777777" w:rsidR="00B16F23" w:rsidRPr="00205204" w:rsidRDefault="00B16F23" w:rsidP="00C608D6">
            <w:pPr>
              <w:jc w:val="center"/>
              <w:rPr>
                <w:rFonts w:asciiTheme="minorHAnsi" w:hAnsiTheme="minorHAnsi" w:cstheme="minorHAnsi"/>
                <w:b/>
                <w:bCs/>
              </w:rPr>
            </w:pPr>
            <w:r w:rsidRPr="00205204">
              <w:rPr>
                <w:rFonts w:asciiTheme="minorHAnsi" w:hAnsiTheme="minorHAnsi" w:cstheme="minorHAnsi"/>
                <w:b/>
                <w:bCs/>
              </w:rPr>
              <w:t>December 2021</w:t>
            </w:r>
          </w:p>
        </w:tc>
      </w:tr>
      <w:tr w:rsidR="00B16F23" w14:paraId="2FFA9429" w14:textId="77777777" w:rsidTr="00C608D6">
        <w:trPr>
          <w:trHeight w:val="20"/>
        </w:trPr>
        <w:tc>
          <w:tcPr>
            <w:tcW w:w="5000" w:type="pct"/>
            <w:gridSpan w:val="4"/>
          </w:tcPr>
          <w:p w14:paraId="4D7F8412" w14:textId="77777777" w:rsidR="00B16F23" w:rsidRPr="00205204" w:rsidRDefault="00B16F23" w:rsidP="00C608D6">
            <w:pPr>
              <w:jc w:val="center"/>
              <w:rPr>
                <w:rFonts w:asciiTheme="minorHAnsi" w:hAnsiTheme="minorHAnsi" w:cstheme="minorHAnsi"/>
                <w:b/>
                <w:bCs/>
              </w:rPr>
            </w:pPr>
            <w:r w:rsidRPr="00205204">
              <w:rPr>
                <w:rFonts w:asciiTheme="minorHAnsi" w:hAnsiTheme="minorHAnsi" w:cstheme="minorHAnsi"/>
                <w:b/>
                <w:bCs/>
              </w:rPr>
              <w:t>Area 1: Strengthened human resource management policies and systems for enhanced performance, efficiency, and equity</w:t>
            </w:r>
          </w:p>
        </w:tc>
      </w:tr>
      <w:tr w:rsidR="00B16F23" w14:paraId="7451009B" w14:textId="77777777" w:rsidTr="00C608D6">
        <w:trPr>
          <w:trHeight w:val="20"/>
        </w:trPr>
        <w:tc>
          <w:tcPr>
            <w:tcW w:w="1243" w:type="pct"/>
          </w:tcPr>
          <w:p w14:paraId="3B12B8C5" w14:textId="77777777" w:rsidR="00B16F23" w:rsidRPr="00205204" w:rsidRDefault="00B16F23" w:rsidP="00C608D6">
            <w:pPr>
              <w:tabs>
                <w:tab w:val="left" w:pos="7525"/>
              </w:tabs>
              <w:ind w:right="130"/>
              <w:rPr>
                <w:rFonts w:asciiTheme="minorHAnsi" w:hAnsiTheme="minorHAnsi" w:cstheme="minorHAnsi"/>
              </w:rPr>
            </w:pPr>
            <w:r w:rsidRPr="00205204">
              <w:rPr>
                <w:rFonts w:asciiTheme="minorHAnsi" w:hAnsiTheme="minorHAnsi" w:cstheme="minorHAnsi"/>
              </w:rPr>
              <w:t xml:space="preserve">DLI 8 </w:t>
            </w:r>
          </w:p>
          <w:p w14:paraId="5847292B" w14:textId="77777777" w:rsidR="00B16F23" w:rsidRPr="00205204" w:rsidRDefault="00B16F23" w:rsidP="00C608D6">
            <w:pPr>
              <w:tabs>
                <w:tab w:val="left" w:pos="7525"/>
              </w:tabs>
              <w:ind w:right="130"/>
              <w:rPr>
                <w:rFonts w:asciiTheme="minorHAnsi" w:hAnsiTheme="minorHAnsi" w:cstheme="minorHAnsi"/>
              </w:rPr>
            </w:pPr>
            <w:r w:rsidRPr="00205204">
              <w:rPr>
                <w:rFonts w:asciiTheme="minorHAnsi" w:hAnsiTheme="minorHAnsi" w:cstheme="minorHAnsi"/>
              </w:rPr>
              <w:t xml:space="preserve">Reforming civil service legislation </w:t>
            </w:r>
          </w:p>
        </w:tc>
        <w:tc>
          <w:tcPr>
            <w:tcW w:w="1103" w:type="pct"/>
          </w:tcPr>
          <w:p w14:paraId="3FFC3E4E" w14:textId="08CCF5EC" w:rsidR="00B16F23" w:rsidRPr="00205204" w:rsidRDefault="00B16F23" w:rsidP="00C608D6">
            <w:pPr>
              <w:textAlignment w:val="baseline"/>
              <w:rPr>
                <w:rFonts w:asciiTheme="minorHAnsi" w:hAnsiTheme="minorHAnsi" w:cstheme="minorHAnsi"/>
                <w:noProof/>
                <w:color w:val="262626" w:themeColor="text1" w:themeTint="D9"/>
              </w:rPr>
            </w:pPr>
          </w:p>
        </w:tc>
        <w:tc>
          <w:tcPr>
            <w:tcW w:w="1153" w:type="pct"/>
          </w:tcPr>
          <w:p w14:paraId="4AEF0A1B"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8.2.1</w:t>
            </w:r>
          </w:p>
          <w:p w14:paraId="4F638A7F"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The Federal Parliament has enacted a civil service law (US$1 mln)</w:t>
            </w:r>
          </w:p>
          <w:p w14:paraId="38C4F810" w14:textId="77777777" w:rsidR="00B16F23" w:rsidRPr="00205204" w:rsidRDefault="00B16F23" w:rsidP="00C608D6">
            <w:pPr>
              <w:rPr>
                <w:rFonts w:asciiTheme="minorHAnsi" w:hAnsiTheme="minorHAnsi" w:cstheme="minorHAnsi"/>
              </w:rPr>
            </w:pPr>
          </w:p>
          <w:p w14:paraId="383E798C" w14:textId="3A030985" w:rsidR="00B16F23" w:rsidRPr="00205204" w:rsidRDefault="00B16F23" w:rsidP="00C608D6">
            <w:pPr>
              <w:rPr>
                <w:rFonts w:asciiTheme="minorHAnsi" w:hAnsiTheme="minorHAnsi" w:cstheme="minorHAnsi"/>
              </w:rPr>
            </w:pPr>
          </w:p>
        </w:tc>
        <w:tc>
          <w:tcPr>
            <w:tcW w:w="1501" w:type="pct"/>
          </w:tcPr>
          <w:p w14:paraId="4FC9CF64"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DLR 8.3.1 </w:t>
            </w:r>
          </w:p>
          <w:p w14:paraId="0C261FE0"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The MoLSA has issued two consecutive   reports covering all Non-Security MDAs on status and applicability of the new Civil Service Law and its Administrative Regulations (US$0.5 mln)</w:t>
            </w:r>
          </w:p>
          <w:p w14:paraId="2DA1811C" w14:textId="77777777" w:rsidR="00B16F23" w:rsidRPr="00205204" w:rsidRDefault="00B16F23" w:rsidP="00C608D6">
            <w:pPr>
              <w:rPr>
                <w:rFonts w:asciiTheme="minorHAnsi" w:hAnsiTheme="minorHAnsi" w:cstheme="minorHAnsi"/>
              </w:rPr>
            </w:pPr>
          </w:p>
          <w:p w14:paraId="27E2D382"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8.3.2.</w:t>
            </w:r>
          </w:p>
          <w:p w14:paraId="43D8EEE1"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lastRenderedPageBreak/>
              <w:t>The Cabinet has endorsed the Organizational Ordinance (US$0.5 mln)</w:t>
            </w:r>
          </w:p>
        </w:tc>
      </w:tr>
      <w:tr w:rsidR="00B16F23" w14:paraId="7EAEAAEC" w14:textId="77777777" w:rsidTr="00C608D6">
        <w:trPr>
          <w:trHeight w:val="20"/>
        </w:trPr>
        <w:tc>
          <w:tcPr>
            <w:tcW w:w="1243" w:type="pct"/>
          </w:tcPr>
          <w:p w14:paraId="62913677" w14:textId="77777777" w:rsidR="00B16F23" w:rsidRPr="00205204" w:rsidRDefault="00B16F23" w:rsidP="00C608D6">
            <w:pPr>
              <w:tabs>
                <w:tab w:val="left" w:pos="7525"/>
              </w:tabs>
              <w:ind w:right="130"/>
              <w:rPr>
                <w:rFonts w:asciiTheme="minorHAnsi" w:hAnsiTheme="minorHAnsi" w:cstheme="minorHAnsi"/>
              </w:rPr>
            </w:pPr>
            <w:r w:rsidRPr="00205204">
              <w:rPr>
                <w:rFonts w:asciiTheme="minorHAnsi" w:hAnsiTheme="minorHAnsi" w:cstheme="minorHAnsi"/>
              </w:rPr>
              <w:lastRenderedPageBreak/>
              <w:t>Disbursement (US$, millions)</w:t>
            </w:r>
          </w:p>
        </w:tc>
        <w:tc>
          <w:tcPr>
            <w:tcW w:w="1103" w:type="pct"/>
          </w:tcPr>
          <w:p w14:paraId="77E34C51" w14:textId="77777777" w:rsidR="00B16F23" w:rsidRPr="00205204" w:rsidRDefault="00B16F23" w:rsidP="00C608D6">
            <w:pPr>
              <w:jc w:val="center"/>
              <w:rPr>
                <w:rFonts w:asciiTheme="minorHAnsi" w:hAnsiTheme="minorHAnsi" w:cstheme="minorHAnsi"/>
                <w:b/>
                <w:bCs/>
                <w:noProof/>
                <w:color w:val="262626" w:themeColor="text1" w:themeTint="D9"/>
              </w:rPr>
            </w:pPr>
            <w:r w:rsidRPr="00205204">
              <w:rPr>
                <w:rFonts w:asciiTheme="minorHAnsi" w:hAnsiTheme="minorHAnsi" w:cstheme="minorHAnsi"/>
                <w:b/>
                <w:bCs/>
                <w:noProof/>
                <w:color w:val="262626" w:themeColor="text1" w:themeTint="D9"/>
              </w:rPr>
              <w:t>2.0</w:t>
            </w:r>
          </w:p>
        </w:tc>
        <w:tc>
          <w:tcPr>
            <w:tcW w:w="1153" w:type="pct"/>
          </w:tcPr>
          <w:p w14:paraId="65F3BE81" w14:textId="77777777" w:rsidR="00B16F23" w:rsidRPr="00205204" w:rsidRDefault="00B16F23" w:rsidP="00C608D6">
            <w:pPr>
              <w:jc w:val="center"/>
              <w:rPr>
                <w:rFonts w:asciiTheme="minorHAnsi" w:hAnsiTheme="minorHAnsi" w:cstheme="minorHAnsi"/>
                <w:b/>
                <w:bCs/>
              </w:rPr>
            </w:pPr>
            <w:r w:rsidRPr="00205204">
              <w:rPr>
                <w:rFonts w:asciiTheme="minorHAnsi" w:hAnsiTheme="minorHAnsi" w:cstheme="minorHAnsi"/>
                <w:b/>
                <w:bCs/>
              </w:rPr>
              <w:t xml:space="preserve">1.5 </w:t>
            </w:r>
          </w:p>
        </w:tc>
        <w:tc>
          <w:tcPr>
            <w:tcW w:w="1501" w:type="pct"/>
          </w:tcPr>
          <w:p w14:paraId="52E03719" w14:textId="77777777" w:rsidR="00B16F23" w:rsidRPr="00205204" w:rsidRDefault="00B16F23" w:rsidP="00C608D6">
            <w:pPr>
              <w:jc w:val="center"/>
              <w:rPr>
                <w:rFonts w:asciiTheme="minorHAnsi" w:hAnsiTheme="minorHAnsi" w:cstheme="minorHAnsi"/>
                <w:b/>
                <w:bCs/>
                <w:noProof/>
                <w:color w:val="262626" w:themeColor="text1" w:themeTint="D9"/>
              </w:rPr>
            </w:pPr>
            <w:r w:rsidRPr="00205204">
              <w:rPr>
                <w:rFonts w:asciiTheme="minorHAnsi" w:hAnsiTheme="minorHAnsi" w:cstheme="minorHAnsi"/>
                <w:b/>
                <w:bCs/>
                <w:noProof/>
                <w:color w:val="262626" w:themeColor="text1" w:themeTint="D9"/>
              </w:rPr>
              <w:t xml:space="preserve">1.0 </w:t>
            </w:r>
          </w:p>
        </w:tc>
      </w:tr>
      <w:tr w:rsidR="00B16F23" w14:paraId="3E1B0956" w14:textId="77777777" w:rsidTr="00C608D6">
        <w:trPr>
          <w:trHeight w:val="20"/>
        </w:trPr>
        <w:tc>
          <w:tcPr>
            <w:tcW w:w="1243" w:type="pct"/>
          </w:tcPr>
          <w:p w14:paraId="0DE00EB5" w14:textId="77777777" w:rsidR="00B16F23" w:rsidRPr="00205204" w:rsidRDefault="00B16F23" w:rsidP="00C608D6">
            <w:pPr>
              <w:tabs>
                <w:tab w:val="left" w:pos="7525"/>
              </w:tabs>
              <w:ind w:right="130"/>
              <w:rPr>
                <w:rFonts w:asciiTheme="minorHAnsi" w:hAnsiTheme="minorHAnsi" w:cstheme="minorHAnsi"/>
              </w:rPr>
            </w:pPr>
            <w:r w:rsidRPr="00205204">
              <w:rPr>
                <w:rFonts w:asciiTheme="minorHAnsi" w:hAnsiTheme="minorHAnsi" w:cstheme="minorHAnsi"/>
              </w:rPr>
              <w:t xml:space="preserve">DLI 9 </w:t>
            </w:r>
          </w:p>
          <w:p w14:paraId="67A0E9AD" w14:textId="77777777" w:rsidR="00B16F23" w:rsidRPr="00205204" w:rsidRDefault="00B16F23" w:rsidP="00C608D6">
            <w:pPr>
              <w:tabs>
                <w:tab w:val="left" w:pos="7525"/>
              </w:tabs>
              <w:ind w:right="130"/>
              <w:rPr>
                <w:rFonts w:asciiTheme="minorHAnsi" w:hAnsiTheme="minorHAnsi" w:cstheme="minorHAnsi"/>
              </w:rPr>
            </w:pPr>
            <w:r w:rsidRPr="00205204">
              <w:rPr>
                <w:rFonts w:asciiTheme="minorHAnsi" w:hAnsiTheme="minorHAnsi" w:cstheme="minorHAnsi"/>
              </w:rPr>
              <w:t xml:space="preserve">Monitoring staff attendance with biometrics </w:t>
            </w:r>
          </w:p>
        </w:tc>
        <w:tc>
          <w:tcPr>
            <w:tcW w:w="1103" w:type="pct"/>
          </w:tcPr>
          <w:p w14:paraId="23318D55" w14:textId="77777777" w:rsidR="00B16F23" w:rsidRPr="00205204" w:rsidRDefault="00B16F23" w:rsidP="00C608D6">
            <w:pPr>
              <w:rPr>
                <w:rFonts w:asciiTheme="minorHAnsi" w:hAnsiTheme="minorHAnsi" w:cstheme="minorHAnsi"/>
                <w:noProof/>
                <w:color w:val="262626" w:themeColor="text1" w:themeTint="D9"/>
              </w:rPr>
            </w:pPr>
            <w:r w:rsidRPr="00205204">
              <w:rPr>
                <w:rFonts w:asciiTheme="minorHAnsi" w:hAnsiTheme="minorHAnsi" w:cstheme="minorHAnsi"/>
                <w:noProof/>
                <w:color w:val="262626" w:themeColor="text1" w:themeTint="D9"/>
              </w:rPr>
              <w:t xml:space="preserve"> </w:t>
            </w:r>
          </w:p>
        </w:tc>
        <w:tc>
          <w:tcPr>
            <w:tcW w:w="1153" w:type="pct"/>
          </w:tcPr>
          <w:p w14:paraId="25F2C2F9" w14:textId="2191024B" w:rsidR="00B16F23" w:rsidRPr="00205204" w:rsidRDefault="00B16F23" w:rsidP="00C608D6">
            <w:pPr>
              <w:ind w:left="-18"/>
              <w:rPr>
                <w:rFonts w:asciiTheme="minorHAnsi" w:hAnsiTheme="minorHAnsi" w:cstheme="minorHAnsi"/>
              </w:rPr>
            </w:pPr>
          </w:p>
        </w:tc>
        <w:tc>
          <w:tcPr>
            <w:tcW w:w="1501" w:type="pct"/>
          </w:tcPr>
          <w:p w14:paraId="6D2E8114"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9.2.1</w:t>
            </w:r>
          </w:p>
          <w:p w14:paraId="2C1AC611"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Fifteen Non-Security Ministries have implemented biometric attendance monitoring systems (US$1 mln)</w:t>
            </w:r>
          </w:p>
          <w:p w14:paraId="1A2D3FF0" w14:textId="77777777" w:rsidR="00B16F23" w:rsidRPr="00205204" w:rsidRDefault="00B16F23" w:rsidP="00C608D6">
            <w:pPr>
              <w:rPr>
                <w:rFonts w:asciiTheme="minorHAnsi" w:hAnsiTheme="minorHAnsi" w:cstheme="minorHAnsi"/>
              </w:rPr>
            </w:pPr>
          </w:p>
          <w:p w14:paraId="54FA91C9"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9.2.2</w:t>
            </w:r>
          </w:p>
          <w:p w14:paraId="2BB79D51"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NCSC has adopted an action plan based on the lessons learnt during the year for implementation of the system and its integration with the payroll, performance and disciplinary system across all Non-Security Ministries of the Recipient (US$0.5 mln)</w:t>
            </w:r>
          </w:p>
        </w:tc>
      </w:tr>
      <w:tr w:rsidR="00B16F23" w14:paraId="5393691F" w14:textId="77777777" w:rsidTr="00C608D6">
        <w:trPr>
          <w:trHeight w:val="20"/>
        </w:trPr>
        <w:tc>
          <w:tcPr>
            <w:tcW w:w="1243" w:type="pct"/>
          </w:tcPr>
          <w:p w14:paraId="2E420B13" w14:textId="77777777" w:rsidR="00B16F23" w:rsidRPr="00205204" w:rsidRDefault="00B16F23" w:rsidP="00C608D6">
            <w:pPr>
              <w:tabs>
                <w:tab w:val="left" w:pos="7525"/>
              </w:tabs>
              <w:ind w:right="130"/>
              <w:jc w:val="center"/>
              <w:rPr>
                <w:rFonts w:asciiTheme="minorHAnsi" w:hAnsiTheme="minorHAnsi" w:cstheme="minorHAnsi"/>
              </w:rPr>
            </w:pPr>
            <w:r w:rsidRPr="00205204">
              <w:rPr>
                <w:rFonts w:asciiTheme="minorHAnsi" w:hAnsiTheme="minorHAnsi" w:cstheme="minorHAnsi"/>
              </w:rPr>
              <w:t>Disbursement (US$, millions)</w:t>
            </w:r>
          </w:p>
        </w:tc>
        <w:tc>
          <w:tcPr>
            <w:tcW w:w="1103" w:type="pct"/>
          </w:tcPr>
          <w:p w14:paraId="36AFA1C8" w14:textId="77777777" w:rsidR="00B16F23" w:rsidRPr="00205204" w:rsidRDefault="00B16F23" w:rsidP="00C608D6">
            <w:pPr>
              <w:jc w:val="center"/>
              <w:rPr>
                <w:rFonts w:asciiTheme="minorHAnsi" w:hAnsiTheme="minorHAnsi" w:cstheme="minorHAnsi"/>
                <w:b/>
                <w:noProof/>
                <w:color w:val="262626" w:themeColor="text1" w:themeTint="D9"/>
              </w:rPr>
            </w:pPr>
            <w:r w:rsidRPr="00205204">
              <w:rPr>
                <w:rFonts w:asciiTheme="minorHAnsi" w:hAnsiTheme="minorHAnsi" w:cstheme="minorHAnsi"/>
                <w:b/>
                <w:noProof/>
                <w:color w:val="262626" w:themeColor="text1" w:themeTint="D9"/>
              </w:rPr>
              <w:t>n.a.</w:t>
            </w:r>
          </w:p>
        </w:tc>
        <w:tc>
          <w:tcPr>
            <w:tcW w:w="1153" w:type="pct"/>
          </w:tcPr>
          <w:p w14:paraId="0ADE533F" w14:textId="77777777" w:rsidR="00B16F23" w:rsidRPr="00205204" w:rsidRDefault="00B16F23" w:rsidP="00C608D6">
            <w:pPr>
              <w:jc w:val="center"/>
              <w:rPr>
                <w:rFonts w:asciiTheme="minorHAnsi" w:hAnsiTheme="minorHAnsi" w:cstheme="minorHAnsi"/>
                <w:b/>
                <w:bCs/>
                <w:noProof/>
                <w:color w:val="262626" w:themeColor="text1" w:themeTint="D9"/>
              </w:rPr>
            </w:pPr>
            <w:r w:rsidRPr="00205204">
              <w:rPr>
                <w:rFonts w:asciiTheme="minorHAnsi" w:hAnsiTheme="minorHAnsi" w:cstheme="minorHAnsi"/>
                <w:b/>
                <w:bCs/>
                <w:noProof/>
                <w:color w:val="262626" w:themeColor="text1" w:themeTint="D9"/>
              </w:rPr>
              <w:t>0.5</w:t>
            </w:r>
          </w:p>
        </w:tc>
        <w:tc>
          <w:tcPr>
            <w:tcW w:w="1501" w:type="pct"/>
          </w:tcPr>
          <w:p w14:paraId="0E2C4658" w14:textId="77777777" w:rsidR="00B16F23" w:rsidRPr="00205204" w:rsidRDefault="00B16F23" w:rsidP="00C608D6">
            <w:pPr>
              <w:jc w:val="center"/>
              <w:rPr>
                <w:rFonts w:asciiTheme="minorHAnsi" w:hAnsiTheme="minorHAnsi" w:cstheme="minorHAnsi"/>
                <w:b/>
                <w:bCs/>
                <w:noProof/>
                <w:color w:val="262626" w:themeColor="text1" w:themeTint="D9"/>
              </w:rPr>
            </w:pPr>
            <w:r w:rsidRPr="00205204">
              <w:rPr>
                <w:rFonts w:asciiTheme="minorHAnsi" w:hAnsiTheme="minorHAnsi" w:cstheme="minorHAnsi"/>
                <w:b/>
                <w:bCs/>
                <w:noProof/>
                <w:color w:val="262626" w:themeColor="text1" w:themeTint="D9"/>
              </w:rPr>
              <w:t>1.5</w:t>
            </w:r>
          </w:p>
        </w:tc>
      </w:tr>
      <w:tr w:rsidR="00B16F23" w14:paraId="7BB6D53B" w14:textId="77777777" w:rsidTr="00C608D6">
        <w:trPr>
          <w:trHeight w:val="20"/>
        </w:trPr>
        <w:tc>
          <w:tcPr>
            <w:tcW w:w="1243" w:type="pct"/>
          </w:tcPr>
          <w:p w14:paraId="5934AB38"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DLI 10</w:t>
            </w:r>
          </w:p>
          <w:p w14:paraId="54995ED5"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Promoting opportunities for women in the Recipient’s civil service and leadership </w:t>
            </w:r>
          </w:p>
        </w:tc>
        <w:tc>
          <w:tcPr>
            <w:tcW w:w="1103" w:type="pct"/>
          </w:tcPr>
          <w:p w14:paraId="6728835E" w14:textId="6B716182" w:rsidR="00B16F23" w:rsidRPr="00205204" w:rsidRDefault="00B16F23" w:rsidP="00C608D6">
            <w:pPr>
              <w:rPr>
                <w:rFonts w:asciiTheme="minorHAnsi" w:hAnsiTheme="minorHAnsi" w:cstheme="minorHAnsi"/>
              </w:rPr>
            </w:pPr>
          </w:p>
        </w:tc>
        <w:tc>
          <w:tcPr>
            <w:tcW w:w="1153" w:type="pct"/>
          </w:tcPr>
          <w:p w14:paraId="1844A9FB" w14:textId="77777777" w:rsidR="00B16F23" w:rsidRPr="00205204" w:rsidRDefault="00B16F23" w:rsidP="00C608D6">
            <w:pPr>
              <w:rPr>
                <w:rFonts w:asciiTheme="minorHAnsi" w:hAnsiTheme="minorHAnsi" w:cstheme="minorHAnsi"/>
              </w:rPr>
            </w:pPr>
          </w:p>
        </w:tc>
        <w:tc>
          <w:tcPr>
            <w:tcW w:w="1501" w:type="pct"/>
          </w:tcPr>
          <w:p w14:paraId="1D39CD30"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10.2</w:t>
            </w:r>
          </w:p>
          <w:p w14:paraId="4D817D75"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NCSC has published an annual report covering, inter alia: (a) the number of women in various grade levels, including senior leadership positions, in the Recipient’s civil service; (b) the progress achieved as per the measures prescribed and goals set forth in NCSC gender-related guidelines; and (c) an action plan for the next reporting period to eventually achieve the 30% ratio of women in senior leadership positions by December 2024.</w:t>
            </w:r>
          </w:p>
        </w:tc>
      </w:tr>
      <w:tr w:rsidR="00B16F23" w14:paraId="0C0DF59C" w14:textId="77777777" w:rsidTr="00C608D6">
        <w:trPr>
          <w:trHeight w:val="20"/>
        </w:trPr>
        <w:tc>
          <w:tcPr>
            <w:tcW w:w="1243" w:type="pct"/>
          </w:tcPr>
          <w:p w14:paraId="301F2F92" w14:textId="77777777" w:rsidR="00B16F23" w:rsidRPr="00205204" w:rsidRDefault="00B16F23" w:rsidP="00C608D6">
            <w:pPr>
              <w:tabs>
                <w:tab w:val="left" w:pos="7525"/>
              </w:tabs>
              <w:ind w:right="130"/>
              <w:rPr>
                <w:rFonts w:asciiTheme="minorHAnsi" w:hAnsiTheme="minorHAnsi" w:cstheme="minorHAnsi"/>
              </w:rPr>
            </w:pPr>
            <w:r w:rsidRPr="00205204">
              <w:rPr>
                <w:rFonts w:asciiTheme="minorHAnsi" w:hAnsiTheme="minorHAnsi" w:cstheme="minorHAnsi"/>
              </w:rPr>
              <w:t>Disbursement (US$, millions)</w:t>
            </w:r>
          </w:p>
        </w:tc>
        <w:tc>
          <w:tcPr>
            <w:tcW w:w="1103" w:type="pct"/>
          </w:tcPr>
          <w:p w14:paraId="3770C6B0" w14:textId="77777777" w:rsidR="00B16F23" w:rsidRPr="00205204" w:rsidRDefault="00B16F23" w:rsidP="00C608D6">
            <w:pPr>
              <w:jc w:val="center"/>
              <w:rPr>
                <w:rFonts w:asciiTheme="minorHAnsi" w:hAnsiTheme="minorHAnsi" w:cstheme="minorHAnsi"/>
                <w:b/>
                <w:bCs/>
                <w:noProof/>
                <w:color w:val="262626" w:themeColor="text1" w:themeTint="D9"/>
              </w:rPr>
            </w:pPr>
            <w:r w:rsidRPr="00205204">
              <w:rPr>
                <w:rFonts w:asciiTheme="minorHAnsi" w:hAnsiTheme="minorHAnsi" w:cstheme="minorHAnsi"/>
                <w:b/>
                <w:bCs/>
                <w:noProof/>
                <w:color w:val="262626" w:themeColor="text1" w:themeTint="D9"/>
              </w:rPr>
              <w:t>1.0</w:t>
            </w:r>
          </w:p>
        </w:tc>
        <w:tc>
          <w:tcPr>
            <w:tcW w:w="1153" w:type="pct"/>
          </w:tcPr>
          <w:p w14:paraId="7C830ED2" w14:textId="77777777" w:rsidR="00B16F23" w:rsidRPr="00205204" w:rsidRDefault="00B16F23" w:rsidP="00C608D6">
            <w:pPr>
              <w:jc w:val="center"/>
              <w:rPr>
                <w:rFonts w:asciiTheme="minorHAnsi" w:hAnsiTheme="minorHAnsi" w:cstheme="minorHAnsi"/>
                <w:b/>
                <w:bCs/>
                <w:noProof/>
                <w:color w:val="262626" w:themeColor="text1" w:themeTint="D9"/>
              </w:rPr>
            </w:pPr>
          </w:p>
        </w:tc>
        <w:tc>
          <w:tcPr>
            <w:tcW w:w="1501" w:type="pct"/>
          </w:tcPr>
          <w:p w14:paraId="4ADC9A08" w14:textId="77777777" w:rsidR="00B16F23" w:rsidRPr="00205204" w:rsidRDefault="00B16F23" w:rsidP="00C608D6">
            <w:pPr>
              <w:jc w:val="center"/>
              <w:rPr>
                <w:rFonts w:asciiTheme="minorHAnsi" w:hAnsiTheme="minorHAnsi" w:cstheme="minorHAnsi"/>
                <w:b/>
                <w:bCs/>
                <w:noProof/>
                <w:color w:val="262626" w:themeColor="text1" w:themeTint="D9"/>
              </w:rPr>
            </w:pPr>
            <w:r w:rsidRPr="00205204">
              <w:rPr>
                <w:rFonts w:asciiTheme="minorHAnsi" w:hAnsiTheme="minorHAnsi" w:cstheme="minorHAnsi"/>
                <w:b/>
                <w:bCs/>
                <w:noProof/>
                <w:color w:val="262626" w:themeColor="text1" w:themeTint="D9"/>
              </w:rPr>
              <w:t>0.5</w:t>
            </w:r>
          </w:p>
        </w:tc>
      </w:tr>
      <w:tr w:rsidR="00B16F23" w14:paraId="5FD71D2D" w14:textId="77777777" w:rsidTr="00C608D6">
        <w:trPr>
          <w:trHeight w:val="20"/>
        </w:trPr>
        <w:tc>
          <w:tcPr>
            <w:tcW w:w="5000" w:type="pct"/>
            <w:gridSpan w:val="4"/>
            <w:vAlign w:val="center"/>
          </w:tcPr>
          <w:p w14:paraId="0E9406D7" w14:textId="77777777" w:rsidR="00B16F23" w:rsidRPr="00205204" w:rsidRDefault="00B16F23" w:rsidP="00C608D6">
            <w:pPr>
              <w:jc w:val="center"/>
              <w:rPr>
                <w:rFonts w:asciiTheme="minorHAnsi" w:hAnsiTheme="minorHAnsi" w:cstheme="minorHAnsi"/>
              </w:rPr>
            </w:pPr>
            <w:r w:rsidRPr="00205204">
              <w:rPr>
                <w:rFonts w:asciiTheme="minorHAnsi" w:hAnsiTheme="minorHAnsi" w:cstheme="minorHAnsi"/>
                <w:b/>
                <w:bCs/>
              </w:rPr>
              <w:t>Area 2: Effective and transparent wage bill management for enhanced fiscal sustainability</w:t>
            </w:r>
          </w:p>
        </w:tc>
      </w:tr>
      <w:tr w:rsidR="00B16F23" w14:paraId="2EA42B27" w14:textId="77777777" w:rsidTr="00C608D6">
        <w:trPr>
          <w:trHeight w:val="20"/>
        </w:trPr>
        <w:tc>
          <w:tcPr>
            <w:tcW w:w="1243" w:type="pct"/>
          </w:tcPr>
          <w:p w14:paraId="5A873498"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DLI 11</w:t>
            </w:r>
          </w:p>
          <w:p w14:paraId="0FF97E9E" w14:textId="77777777" w:rsidR="00B16F23" w:rsidRPr="00205204" w:rsidRDefault="00B16F23" w:rsidP="00C608D6">
            <w:pPr>
              <w:rPr>
                <w:rFonts w:asciiTheme="minorHAnsi" w:hAnsiTheme="minorHAnsi" w:cstheme="minorHAnsi"/>
                <w:b/>
                <w:bCs/>
              </w:rPr>
            </w:pPr>
            <w:r w:rsidRPr="00205204">
              <w:rPr>
                <w:rFonts w:asciiTheme="minorHAnsi" w:hAnsiTheme="minorHAnsi" w:cstheme="minorHAnsi"/>
              </w:rPr>
              <w:t xml:space="preserve">Reforming civil service pay and grading </w:t>
            </w:r>
          </w:p>
        </w:tc>
        <w:tc>
          <w:tcPr>
            <w:tcW w:w="1103" w:type="pct"/>
          </w:tcPr>
          <w:p w14:paraId="717B2D3E" w14:textId="77777777" w:rsidR="00B16F23" w:rsidRPr="00205204" w:rsidRDefault="00B16F23" w:rsidP="00C608D6">
            <w:pPr>
              <w:rPr>
                <w:rFonts w:asciiTheme="minorHAnsi" w:hAnsiTheme="minorHAnsi" w:cstheme="minorHAnsi"/>
              </w:rPr>
            </w:pPr>
          </w:p>
        </w:tc>
        <w:tc>
          <w:tcPr>
            <w:tcW w:w="1153" w:type="pct"/>
          </w:tcPr>
          <w:p w14:paraId="1D83860E" w14:textId="77777777" w:rsidR="00B16F23" w:rsidRPr="00205204" w:rsidRDefault="00B16F23" w:rsidP="00C608D6">
            <w:pPr>
              <w:rPr>
                <w:rFonts w:asciiTheme="minorHAnsi" w:hAnsiTheme="minorHAnsi" w:cstheme="minorHAnsi"/>
              </w:rPr>
            </w:pPr>
            <w:r w:rsidRPr="00205204">
              <w:rPr>
                <w:rFonts w:asciiTheme="minorHAnsi" w:hAnsiTheme="minorHAnsi" w:cstheme="minorHAnsi"/>
                <w:noProof/>
                <w:color w:val="262626" w:themeColor="text1" w:themeTint="D9"/>
              </w:rPr>
              <w:t xml:space="preserve"> </w:t>
            </w:r>
          </w:p>
        </w:tc>
        <w:tc>
          <w:tcPr>
            <w:tcW w:w="1501" w:type="pct"/>
          </w:tcPr>
          <w:p w14:paraId="59BA9B87"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11.1</w:t>
            </w:r>
          </w:p>
          <w:p w14:paraId="66ED7F14"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lastRenderedPageBreak/>
              <w:t>The Cabinet has approved a pay and grade reform as per the technical analysis carried out under the Project (US$0.5 mln).</w:t>
            </w:r>
          </w:p>
          <w:p w14:paraId="403117D4" w14:textId="77777777" w:rsidR="00B16F23" w:rsidRPr="00205204" w:rsidRDefault="00B16F23" w:rsidP="00C608D6">
            <w:pPr>
              <w:rPr>
                <w:rFonts w:asciiTheme="minorHAnsi" w:hAnsiTheme="minorHAnsi" w:cstheme="minorHAnsi"/>
              </w:rPr>
            </w:pPr>
          </w:p>
          <w:p w14:paraId="366BF9A1"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11.2</w:t>
            </w:r>
          </w:p>
          <w:p w14:paraId="6754789E"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The Cabinet has approved a plan for transitioning Capacity Injection Modality staff  and other donor-financed positions into the new pay grading system (US$0.5 mln).</w:t>
            </w:r>
          </w:p>
        </w:tc>
      </w:tr>
      <w:tr w:rsidR="00B16F23" w14:paraId="42373A9A" w14:textId="77777777" w:rsidTr="00C608D6">
        <w:trPr>
          <w:trHeight w:val="20"/>
        </w:trPr>
        <w:tc>
          <w:tcPr>
            <w:tcW w:w="1243" w:type="pct"/>
          </w:tcPr>
          <w:p w14:paraId="6B184444" w14:textId="77777777" w:rsidR="00B16F23" w:rsidRPr="00205204" w:rsidRDefault="00B16F23" w:rsidP="00C608D6">
            <w:pPr>
              <w:jc w:val="both"/>
              <w:rPr>
                <w:rFonts w:asciiTheme="minorHAnsi" w:hAnsiTheme="minorHAnsi" w:cstheme="minorHAnsi"/>
                <w:b/>
                <w:bCs/>
              </w:rPr>
            </w:pPr>
            <w:r w:rsidRPr="00205204">
              <w:rPr>
                <w:rFonts w:asciiTheme="minorHAnsi" w:hAnsiTheme="minorHAnsi" w:cstheme="minorHAnsi"/>
              </w:rPr>
              <w:lastRenderedPageBreak/>
              <w:t>Disbursement (US$, millions)</w:t>
            </w:r>
          </w:p>
        </w:tc>
        <w:tc>
          <w:tcPr>
            <w:tcW w:w="1103" w:type="pct"/>
          </w:tcPr>
          <w:p w14:paraId="1CFFE163" w14:textId="77777777" w:rsidR="00B16F23" w:rsidRPr="00205204" w:rsidRDefault="00B16F23" w:rsidP="00C608D6">
            <w:pPr>
              <w:jc w:val="center"/>
              <w:rPr>
                <w:rFonts w:asciiTheme="minorHAnsi" w:hAnsiTheme="minorHAnsi" w:cstheme="minorHAnsi"/>
              </w:rPr>
            </w:pPr>
            <w:r w:rsidRPr="00205204">
              <w:rPr>
                <w:rFonts w:asciiTheme="minorHAnsi" w:hAnsiTheme="minorHAnsi" w:cstheme="minorHAnsi"/>
              </w:rPr>
              <w:t>n.a.</w:t>
            </w:r>
          </w:p>
        </w:tc>
        <w:tc>
          <w:tcPr>
            <w:tcW w:w="1153" w:type="pct"/>
          </w:tcPr>
          <w:p w14:paraId="1F765009" w14:textId="77777777" w:rsidR="00B16F23" w:rsidRPr="00205204" w:rsidRDefault="00B16F23" w:rsidP="00C608D6">
            <w:pPr>
              <w:jc w:val="center"/>
              <w:rPr>
                <w:rFonts w:asciiTheme="minorHAnsi" w:hAnsiTheme="minorHAnsi" w:cstheme="minorHAnsi"/>
              </w:rPr>
            </w:pPr>
            <w:r w:rsidRPr="00205204">
              <w:rPr>
                <w:rFonts w:asciiTheme="minorHAnsi" w:hAnsiTheme="minorHAnsi" w:cstheme="minorHAnsi"/>
              </w:rPr>
              <w:t>n.a.</w:t>
            </w:r>
          </w:p>
        </w:tc>
        <w:tc>
          <w:tcPr>
            <w:tcW w:w="1501" w:type="pct"/>
          </w:tcPr>
          <w:p w14:paraId="18E91E2C" w14:textId="77777777" w:rsidR="00B16F23" w:rsidRPr="00205204" w:rsidRDefault="00B16F23" w:rsidP="00C608D6">
            <w:pPr>
              <w:jc w:val="center"/>
              <w:rPr>
                <w:rFonts w:asciiTheme="minorHAnsi" w:hAnsiTheme="minorHAnsi" w:cstheme="minorHAnsi"/>
                <w:b/>
                <w:bCs/>
                <w:noProof/>
                <w:color w:val="262626" w:themeColor="text1" w:themeTint="D9"/>
              </w:rPr>
            </w:pPr>
            <w:r w:rsidRPr="00205204">
              <w:rPr>
                <w:rFonts w:asciiTheme="minorHAnsi" w:hAnsiTheme="minorHAnsi" w:cstheme="minorHAnsi"/>
                <w:b/>
                <w:bCs/>
                <w:noProof/>
                <w:color w:val="262626" w:themeColor="text1" w:themeTint="D9"/>
              </w:rPr>
              <w:t>1.0</w:t>
            </w:r>
          </w:p>
        </w:tc>
      </w:tr>
      <w:tr w:rsidR="00B16F23" w14:paraId="58EDD2D6" w14:textId="77777777" w:rsidTr="00C608D6">
        <w:trPr>
          <w:trHeight w:val="20"/>
        </w:trPr>
        <w:tc>
          <w:tcPr>
            <w:tcW w:w="1243" w:type="pct"/>
          </w:tcPr>
          <w:p w14:paraId="5BCFFDC3" w14:textId="77777777" w:rsidR="00B16F23" w:rsidRPr="00205204" w:rsidRDefault="00B16F23" w:rsidP="00C608D6">
            <w:pPr>
              <w:tabs>
                <w:tab w:val="left" w:pos="7525"/>
              </w:tabs>
              <w:ind w:right="130"/>
              <w:rPr>
                <w:rFonts w:asciiTheme="minorHAnsi" w:hAnsiTheme="minorHAnsi" w:cstheme="minorHAnsi"/>
              </w:rPr>
            </w:pPr>
            <w:r w:rsidRPr="00205204">
              <w:rPr>
                <w:rFonts w:asciiTheme="minorHAnsi" w:hAnsiTheme="minorHAnsi" w:cstheme="minorHAnsi"/>
              </w:rPr>
              <w:t>DLI 12</w:t>
            </w:r>
          </w:p>
          <w:p w14:paraId="5546F72F" w14:textId="77777777" w:rsidR="00B16F23" w:rsidRPr="00205204" w:rsidRDefault="00B16F23" w:rsidP="00C608D6">
            <w:pPr>
              <w:tabs>
                <w:tab w:val="left" w:pos="7525"/>
              </w:tabs>
              <w:ind w:right="130"/>
              <w:rPr>
                <w:rFonts w:asciiTheme="minorHAnsi" w:hAnsiTheme="minorHAnsi" w:cstheme="minorHAnsi"/>
              </w:rPr>
            </w:pPr>
            <w:r w:rsidRPr="00205204">
              <w:rPr>
                <w:rFonts w:asciiTheme="minorHAnsi" w:hAnsiTheme="minorHAnsi" w:cstheme="minorHAnsi"/>
              </w:rPr>
              <w:t>Reforming pensions policy and administration</w:t>
            </w:r>
          </w:p>
        </w:tc>
        <w:tc>
          <w:tcPr>
            <w:tcW w:w="1103" w:type="pct"/>
          </w:tcPr>
          <w:p w14:paraId="1E859BA5" w14:textId="77777777" w:rsidR="00B16F23" w:rsidRPr="00205204" w:rsidRDefault="00B16F23" w:rsidP="00C608D6">
            <w:pPr>
              <w:tabs>
                <w:tab w:val="left" w:pos="7525"/>
              </w:tabs>
              <w:ind w:right="130"/>
              <w:rPr>
                <w:rFonts w:asciiTheme="minorHAnsi" w:hAnsiTheme="minorHAnsi" w:cstheme="minorHAnsi"/>
                <w:noProof/>
                <w:color w:val="262626" w:themeColor="text1" w:themeTint="D9"/>
              </w:rPr>
            </w:pPr>
            <w:r w:rsidRPr="00205204">
              <w:rPr>
                <w:rFonts w:asciiTheme="minorHAnsi" w:hAnsiTheme="minorHAnsi" w:cstheme="minorHAnsi"/>
                <w:noProof/>
                <w:color w:val="262626" w:themeColor="text1" w:themeTint="D9"/>
              </w:rPr>
              <w:t>DLR 12.1</w:t>
            </w:r>
          </w:p>
          <w:p w14:paraId="06B0CD0E" w14:textId="77777777" w:rsidR="00B16F23" w:rsidRPr="00205204" w:rsidRDefault="00B16F23" w:rsidP="00C608D6">
            <w:pPr>
              <w:tabs>
                <w:tab w:val="left" w:pos="7525"/>
              </w:tabs>
              <w:ind w:right="130"/>
              <w:rPr>
                <w:rFonts w:asciiTheme="minorHAnsi" w:hAnsiTheme="minorHAnsi" w:cstheme="minorHAnsi"/>
              </w:rPr>
            </w:pPr>
            <w:r w:rsidRPr="00205204">
              <w:rPr>
                <w:rFonts w:asciiTheme="minorHAnsi" w:hAnsiTheme="minorHAnsi" w:cstheme="minorHAnsi"/>
                <w:noProof/>
                <w:color w:val="262626" w:themeColor="text1" w:themeTint="D9"/>
              </w:rPr>
              <w:t>The Cabinet has (a) approved a pension policy; and (b) submitted a draft pension law to the Parliament</w:t>
            </w:r>
          </w:p>
        </w:tc>
        <w:tc>
          <w:tcPr>
            <w:tcW w:w="1153" w:type="pct"/>
          </w:tcPr>
          <w:p w14:paraId="47B749D5" w14:textId="77777777" w:rsidR="00B16F23" w:rsidRPr="00205204" w:rsidRDefault="00B16F23" w:rsidP="00C608D6">
            <w:pPr>
              <w:tabs>
                <w:tab w:val="left" w:pos="7525"/>
              </w:tabs>
              <w:ind w:right="130"/>
              <w:rPr>
                <w:rFonts w:asciiTheme="minorHAnsi" w:hAnsiTheme="minorHAnsi" w:cstheme="minorHAnsi"/>
              </w:rPr>
            </w:pPr>
            <w:r w:rsidRPr="00205204">
              <w:rPr>
                <w:rFonts w:asciiTheme="minorHAnsi" w:hAnsiTheme="minorHAnsi" w:cstheme="minorHAnsi"/>
              </w:rPr>
              <w:t>DLR 12.2</w:t>
            </w:r>
          </w:p>
          <w:p w14:paraId="5D984F9C" w14:textId="77777777" w:rsidR="00B16F23" w:rsidRPr="00205204" w:rsidRDefault="00B16F23" w:rsidP="00C608D6">
            <w:pPr>
              <w:ind w:left="-18"/>
              <w:rPr>
                <w:rFonts w:asciiTheme="minorHAnsi" w:hAnsiTheme="minorHAnsi" w:cstheme="minorHAnsi"/>
              </w:rPr>
            </w:pPr>
            <w:r w:rsidRPr="00205204">
              <w:rPr>
                <w:rFonts w:asciiTheme="minorHAnsi" w:hAnsiTheme="minorHAnsi" w:cstheme="minorHAnsi"/>
              </w:rPr>
              <w:t xml:space="preserve">The Recipient has adopted pension regulations. </w:t>
            </w:r>
          </w:p>
        </w:tc>
        <w:tc>
          <w:tcPr>
            <w:tcW w:w="1501" w:type="pct"/>
          </w:tcPr>
          <w:p w14:paraId="37330EB4"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12.3.1</w:t>
            </w:r>
          </w:p>
          <w:p w14:paraId="3CC7F2F9"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The Recipient has retired, granted </w:t>
            </w:r>
            <w:r>
              <w:rPr>
                <w:rFonts w:asciiTheme="minorHAnsi" w:hAnsiTheme="minorHAnsi" w:cstheme="minorHAnsi"/>
              </w:rPr>
              <w:t xml:space="preserve">pensions, </w:t>
            </w:r>
            <w:r w:rsidRPr="00205204">
              <w:rPr>
                <w:rFonts w:asciiTheme="minorHAnsi" w:hAnsiTheme="minorHAnsi" w:cstheme="minorHAnsi"/>
              </w:rPr>
              <w:t xml:space="preserve">and started paying </w:t>
            </w:r>
            <w:r>
              <w:rPr>
                <w:rFonts w:asciiTheme="minorHAnsi" w:hAnsiTheme="minorHAnsi" w:cstheme="minorHAnsi"/>
              </w:rPr>
              <w:t xml:space="preserve">them </w:t>
            </w:r>
            <w:r w:rsidRPr="00205204">
              <w:rPr>
                <w:rFonts w:asciiTheme="minorHAnsi" w:hAnsiTheme="minorHAnsi" w:cstheme="minorHAnsi"/>
              </w:rPr>
              <w:t>as of January 1, 202</w:t>
            </w:r>
            <w:r>
              <w:rPr>
                <w:rFonts w:asciiTheme="minorHAnsi" w:hAnsiTheme="minorHAnsi" w:cstheme="minorHAnsi"/>
              </w:rPr>
              <w:t>2</w:t>
            </w:r>
            <w:r w:rsidRPr="00205204">
              <w:rPr>
                <w:rFonts w:asciiTheme="minorHAnsi" w:hAnsiTheme="minorHAnsi" w:cstheme="minorHAnsi"/>
              </w:rPr>
              <w:t>, to all civil servants at, or above, the mandatory pension age (US$0.5 mln).</w:t>
            </w:r>
          </w:p>
          <w:p w14:paraId="5DC0FD4B" w14:textId="77777777" w:rsidR="00B16F23" w:rsidRPr="00205204" w:rsidRDefault="00B16F23" w:rsidP="00C608D6">
            <w:pPr>
              <w:rPr>
                <w:rFonts w:asciiTheme="minorHAnsi" w:hAnsiTheme="minorHAnsi" w:cstheme="minorHAnsi"/>
              </w:rPr>
            </w:pPr>
          </w:p>
          <w:p w14:paraId="4FC200FC"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12.3.2</w:t>
            </w:r>
          </w:p>
          <w:p w14:paraId="60AC9C1C"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The MoF has established a pension fund department (US$0.5 mln).</w:t>
            </w:r>
          </w:p>
        </w:tc>
      </w:tr>
      <w:tr w:rsidR="00B16F23" w14:paraId="589D1449" w14:textId="77777777" w:rsidTr="00C608D6">
        <w:trPr>
          <w:trHeight w:val="20"/>
        </w:trPr>
        <w:tc>
          <w:tcPr>
            <w:tcW w:w="1243" w:type="pct"/>
          </w:tcPr>
          <w:p w14:paraId="36BE2E77" w14:textId="77777777" w:rsidR="00B16F23" w:rsidRPr="00205204" w:rsidRDefault="00B16F23" w:rsidP="00C608D6">
            <w:pPr>
              <w:tabs>
                <w:tab w:val="left" w:pos="7525"/>
              </w:tabs>
              <w:ind w:right="130"/>
              <w:rPr>
                <w:rFonts w:asciiTheme="minorHAnsi" w:hAnsiTheme="minorHAnsi" w:cstheme="minorHAnsi"/>
              </w:rPr>
            </w:pPr>
            <w:bookmarkStart w:id="14" w:name="_Hlk61443891"/>
            <w:r w:rsidRPr="00205204">
              <w:rPr>
                <w:rFonts w:asciiTheme="minorHAnsi" w:hAnsiTheme="minorHAnsi" w:cstheme="minorHAnsi"/>
              </w:rPr>
              <w:t>Disbursement (US$, millions)</w:t>
            </w:r>
          </w:p>
        </w:tc>
        <w:tc>
          <w:tcPr>
            <w:tcW w:w="1103" w:type="pct"/>
          </w:tcPr>
          <w:p w14:paraId="39095316" w14:textId="77777777" w:rsidR="00B16F23" w:rsidRPr="00205204" w:rsidRDefault="00B16F23" w:rsidP="00C608D6">
            <w:pPr>
              <w:jc w:val="center"/>
              <w:rPr>
                <w:rFonts w:asciiTheme="minorHAnsi" w:hAnsiTheme="minorHAnsi" w:cstheme="minorHAnsi"/>
                <w:b/>
                <w:bCs/>
                <w:noProof/>
                <w:color w:val="262626" w:themeColor="text1" w:themeTint="D9"/>
              </w:rPr>
            </w:pPr>
            <w:r w:rsidRPr="00205204">
              <w:rPr>
                <w:rFonts w:asciiTheme="minorHAnsi" w:hAnsiTheme="minorHAnsi" w:cstheme="minorHAnsi"/>
                <w:b/>
                <w:bCs/>
                <w:noProof/>
                <w:color w:val="262626" w:themeColor="text1" w:themeTint="D9"/>
              </w:rPr>
              <w:t>2.0</w:t>
            </w:r>
          </w:p>
        </w:tc>
        <w:tc>
          <w:tcPr>
            <w:tcW w:w="1153" w:type="pct"/>
          </w:tcPr>
          <w:p w14:paraId="35C55440" w14:textId="77777777" w:rsidR="00B16F23" w:rsidRPr="00205204" w:rsidRDefault="00B16F23" w:rsidP="00C608D6">
            <w:pPr>
              <w:jc w:val="center"/>
              <w:rPr>
                <w:rFonts w:asciiTheme="minorHAnsi" w:hAnsiTheme="minorHAnsi" w:cstheme="minorHAnsi"/>
                <w:b/>
                <w:bCs/>
                <w:noProof/>
                <w:color w:val="262626" w:themeColor="text1" w:themeTint="D9"/>
              </w:rPr>
            </w:pPr>
            <w:r w:rsidRPr="00205204">
              <w:rPr>
                <w:rFonts w:asciiTheme="minorHAnsi" w:hAnsiTheme="minorHAnsi" w:cstheme="minorHAnsi"/>
                <w:b/>
                <w:bCs/>
                <w:noProof/>
                <w:color w:val="262626" w:themeColor="text1" w:themeTint="D9"/>
              </w:rPr>
              <w:t>1.0</w:t>
            </w:r>
          </w:p>
        </w:tc>
        <w:tc>
          <w:tcPr>
            <w:tcW w:w="1501" w:type="pct"/>
          </w:tcPr>
          <w:p w14:paraId="6E3DEC3F" w14:textId="77777777" w:rsidR="00B16F23" w:rsidRPr="00205204" w:rsidRDefault="00B16F23" w:rsidP="00C608D6">
            <w:pPr>
              <w:jc w:val="center"/>
              <w:rPr>
                <w:rFonts w:asciiTheme="minorHAnsi" w:hAnsiTheme="minorHAnsi" w:cstheme="minorHAnsi"/>
                <w:b/>
                <w:bCs/>
                <w:noProof/>
                <w:color w:val="262626" w:themeColor="text1" w:themeTint="D9"/>
              </w:rPr>
            </w:pPr>
            <w:r w:rsidRPr="00205204">
              <w:rPr>
                <w:rFonts w:asciiTheme="minorHAnsi" w:hAnsiTheme="minorHAnsi" w:cstheme="minorHAnsi"/>
                <w:b/>
                <w:bCs/>
                <w:noProof/>
                <w:color w:val="262626" w:themeColor="text1" w:themeTint="D9"/>
              </w:rPr>
              <w:t>1.0</w:t>
            </w:r>
          </w:p>
        </w:tc>
      </w:tr>
      <w:bookmarkEnd w:id="14"/>
      <w:tr w:rsidR="00B16F23" w14:paraId="4372402D" w14:textId="77777777" w:rsidTr="00C608D6">
        <w:trPr>
          <w:trHeight w:val="20"/>
        </w:trPr>
        <w:tc>
          <w:tcPr>
            <w:tcW w:w="1243" w:type="pct"/>
          </w:tcPr>
          <w:p w14:paraId="1D2027D6"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DLI 13</w:t>
            </w:r>
          </w:p>
          <w:p w14:paraId="75A5051F" w14:textId="77777777" w:rsidR="00B16F23" w:rsidRPr="00205204" w:rsidRDefault="00B16F23" w:rsidP="00C608D6">
            <w:pPr>
              <w:rPr>
                <w:rFonts w:asciiTheme="minorHAnsi" w:hAnsiTheme="minorHAnsi" w:cstheme="minorHAnsi"/>
                <w:b/>
                <w:bCs/>
              </w:rPr>
            </w:pPr>
            <w:r w:rsidRPr="00205204">
              <w:rPr>
                <w:rFonts w:asciiTheme="minorHAnsi" w:hAnsiTheme="minorHAnsi" w:cstheme="minorHAnsi"/>
              </w:rPr>
              <w:t xml:space="preserve">Improving wage bill management and transparency </w:t>
            </w:r>
          </w:p>
        </w:tc>
        <w:tc>
          <w:tcPr>
            <w:tcW w:w="1103" w:type="pct"/>
          </w:tcPr>
          <w:p w14:paraId="56C261EF" w14:textId="77777777" w:rsidR="00B16F23" w:rsidRPr="00205204" w:rsidRDefault="00B16F23" w:rsidP="00C608D6">
            <w:pPr>
              <w:rPr>
                <w:rFonts w:asciiTheme="minorHAnsi" w:hAnsiTheme="minorHAnsi" w:cstheme="minorHAnsi"/>
              </w:rPr>
            </w:pPr>
          </w:p>
        </w:tc>
        <w:tc>
          <w:tcPr>
            <w:tcW w:w="1153" w:type="pct"/>
          </w:tcPr>
          <w:p w14:paraId="7A33E869" w14:textId="77777777" w:rsidR="00B16F23" w:rsidRPr="00205204" w:rsidRDefault="00B16F23" w:rsidP="00C608D6">
            <w:pPr>
              <w:rPr>
                <w:rFonts w:asciiTheme="minorHAnsi" w:hAnsiTheme="minorHAnsi" w:cstheme="minorHAnsi"/>
              </w:rPr>
            </w:pPr>
          </w:p>
        </w:tc>
        <w:tc>
          <w:tcPr>
            <w:tcW w:w="1501" w:type="pct"/>
          </w:tcPr>
          <w:p w14:paraId="3467F523"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13.21</w:t>
            </w:r>
          </w:p>
          <w:p w14:paraId="13341643" w14:textId="77777777" w:rsidR="00B16F23" w:rsidRPr="00205204" w:rsidRDefault="00B16F23" w:rsidP="00C608D6">
            <w:pPr>
              <w:rPr>
                <w:rFonts w:asciiTheme="minorHAnsi" w:hAnsiTheme="minorHAnsi" w:cstheme="minorHAnsi"/>
                <w:color w:val="000000"/>
              </w:rPr>
            </w:pPr>
            <w:r w:rsidRPr="00205204">
              <w:rPr>
                <w:rFonts w:asciiTheme="minorHAnsi" w:hAnsiTheme="minorHAnsi" w:cstheme="minorHAnsi"/>
              </w:rPr>
              <w:t xml:space="preserve">The Cabinet has approved an action plan </w:t>
            </w:r>
            <w:r w:rsidRPr="00205204">
              <w:rPr>
                <w:rFonts w:asciiTheme="minorHAnsi" w:hAnsiTheme="minorHAnsi" w:cstheme="minorHAnsi"/>
                <w:color w:val="000000"/>
              </w:rPr>
              <w:t>to improve the transparency and management of a reduced non</w:t>
            </w:r>
            <w:r>
              <w:rPr>
                <w:rFonts w:asciiTheme="minorHAnsi" w:hAnsiTheme="minorHAnsi" w:cstheme="minorHAnsi"/>
                <w:color w:val="000000"/>
              </w:rPr>
              <w:t>-</w:t>
            </w:r>
            <w:r w:rsidRPr="00205204">
              <w:rPr>
                <w:rFonts w:asciiTheme="minorHAnsi" w:hAnsiTheme="minorHAnsi" w:cstheme="minorHAnsi"/>
                <w:color w:val="000000"/>
              </w:rPr>
              <w:t xml:space="preserve">formal wage bill </w:t>
            </w:r>
          </w:p>
          <w:p w14:paraId="5046B3F3" w14:textId="77777777" w:rsidR="00B16F23" w:rsidRPr="00205204" w:rsidRDefault="00B16F23" w:rsidP="00C608D6">
            <w:pPr>
              <w:rPr>
                <w:rFonts w:asciiTheme="minorHAnsi" w:hAnsiTheme="minorHAnsi" w:cstheme="minorHAnsi"/>
              </w:rPr>
            </w:pPr>
          </w:p>
        </w:tc>
      </w:tr>
      <w:tr w:rsidR="00B16F23" w14:paraId="1F675F71" w14:textId="77777777" w:rsidTr="00C608D6">
        <w:trPr>
          <w:trHeight w:val="20"/>
        </w:trPr>
        <w:tc>
          <w:tcPr>
            <w:tcW w:w="1243" w:type="pct"/>
          </w:tcPr>
          <w:p w14:paraId="1114E274" w14:textId="77777777" w:rsidR="00B16F23" w:rsidRPr="00205204" w:rsidRDefault="00B16F23" w:rsidP="00C608D6">
            <w:pPr>
              <w:tabs>
                <w:tab w:val="left" w:pos="7525"/>
              </w:tabs>
              <w:ind w:right="130"/>
              <w:rPr>
                <w:rFonts w:asciiTheme="minorHAnsi" w:hAnsiTheme="minorHAnsi" w:cstheme="minorHAnsi"/>
              </w:rPr>
            </w:pPr>
            <w:r w:rsidRPr="00205204">
              <w:rPr>
                <w:rFonts w:asciiTheme="minorHAnsi" w:hAnsiTheme="minorHAnsi" w:cstheme="minorHAnsi"/>
              </w:rPr>
              <w:t>Disbursement (US$, millions)</w:t>
            </w:r>
          </w:p>
        </w:tc>
        <w:tc>
          <w:tcPr>
            <w:tcW w:w="1103" w:type="pct"/>
          </w:tcPr>
          <w:p w14:paraId="69404964" w14:textId="77777777" w:rsidR="00B16F23" w:rsidRPr="00205204" w:rsidRDefault="00B16F23" w:rsidP="00C608D6">
            <w:pPr>
              <w:jc w:val="center"/>
              <w:rPr>
                <w:rFonts w:asciiTheme="minorHAnsi" w:hAnsiTheme="minorHAnsi" w:cstheme="minorHAnsi"/>
                <w:b/>
                <w:bCs/>
                <w:noProof/>
                <w:color w:val="262626" w:themeColor="text1" w:themeTint="D9"/>
              </w:rPr>
            </w:pPr>
            <w:r w:rsidRPr="00205204">
              <w:rPr>
                <w:rFonts w:asciiTheme="minorHAnsi" w:hAnsiTheme="minorHAnsi" w:cstheme="minorHAnsi"/>
                <w:b/>
                <w:bCs/>
                <w:noProof/>
                <w:color w:val="262626" w:themeColor="text1" w:themeTint="D9"/>
              </w:rPr>
              <w:t>n.a.</w:t>
            </w:r>
          </w:p>
        </w:tc>
        <w:tc>
          <w:tcPr>
            <w:tcW w:w="1153" w:type="pct"/>
          </w:tcPr>
          <w:p w14:paraId="624C6595" w14:textId="77777777" w:rsidR="00B16F23" w:rsidRPr="00205204" w:rsidRDefault="00B16F23" w:rsidP="00C608D6">
            <w:pPr>
              <w:jc w:val="center"/>
              <w:rPr>
                <w:rFonts w:asciiTheme="minorHAnsi" w:hAnsiTheme="minorHAnsi" w:cstheme="minorHAnsi"/>
                <w:b/>
                <w:bCs/>
                <w:noProof/>
                <w:color w:val="262626" w:themeColor="text1" w:themeTint="D9"/>
              </w:rPr>
            </w:pPr>
            <w:r w:rsidRPr="00205204">
              <w:rPr>
                <w:rFonts w:asciiTheme="minorHAnsi" w:hAnsiTheme="minorHAnsi" w:cstheme="minorHAnsi"/>
                <w:b/>
                <w:bCs/>
                <w:noProof/>
                <w:color w:val="262626" w:themeColor="text1" w:themeTint="D9"/>
              </w:rPr>
              <w:t>n.a.</w:t>
            </w:r>
          </w:p>
        </w:tc>
        <w:tc>
          <w:tcPr>
            <w:tcW w:w="1501" w:type="pct"/>
          </w:tcPr>
          <w:p w14:paraId="27E1E052" w14:textId="77777777" w:rsidR="00B16F23" w:rsidRPr="00205204" w:rsidRDefault="00B16F23" w:rsidP="00C608D6">
            <w:pPr>
              <w:jc w:val="center"/>
              <w:rPr>
                <w:rFonts w:asciiTheme="minorHAnsi" w:hAnsiTheme="minorHAnsi" w:cstheme="minorHAnsi"/>
                <w:b/>
                <w:bCs/>
                <w:noProof/>
                <w:color w:val="262626" w:themeColor="text1" w:themeTint="D9"/>
              </w:rPr>
            </w:pPr>
            <w:r w:rsidRPr="00205204">
              <w:rPr>
                <w:rFonts w:asciiTheme="minorHAnsi" w:hAnsiTheme="minorHAnsi" w:cstheme="minorHAnsi"/>
                <w:b/>
                <w:bCs/>
                <w:noProof/>
                <w:color w:val="262626" w:themeColor="text1" w:themeTint="D9"/>
              </w:rPr>
              <w:t>1.5</w:t>
            </w:r>
          </w:p>
        </w:tc>
      </w:tr>
      <w:tr w:rsidR="00B16F23" w14:paraId="358DFA18" w14:textId="77777777" w:rsidTr="00C608D6">
        <w:trPr>
          <w:trHeight w:val="20"/>
        </w:trPr>
        <w:tc>
          <w:tcPr>
            <w:tcW w:w="5000" w:type="pct"/>
            <w:gridSpan w:val="4"/>
            <w:vAlign w:val="center"/>
          </w:tcPr>
          <w:p w14:paraId="5BC527A0" w14:textId="77777777" w:rsidR="00B16F23" w:rsidRPr="00205204" w:rsidRDefault="00B16F23" w:rsidP="00C608D6">
            <w:pPr>
              <w:pStyle w:val="ListParagraph"/>
              <w:ind w:left="360"/>
              <w:contextualSpacing w:val="0"/>
              <w:jc w:val="center"/>
              <w:rPr>
                <w:rFonts w:cstheme="minorHAnsi"/>
              </w:rPr>
            </w:pPr>
            <w:r w:rsidRPr="00205204">
              <w:rPr>
                <w:rFonts w:cstheme="minorHAnsi"/>
                <w:b/>
                <w:bCs/>
              </w:rPr>
              <w:t>Area 3: Enhanced FGS and FMS fiscal and financial reporting</w:t>
            </w:r>
          </w:p>
        </w:tc>
      </w:tr>
      <w:tr w:rsidR="00B16F23" w14:paraId="4AD8BBD8" w14:textId="77777777" w:rsidTr="00C608D6">
        <w:trPr>
          <w:trHeight w:val="20"/>
        </w:trPr>
        <w:tc>
          <w:tcPr>
            <w:tcW w:w="1243" w:type="pct"/>
          </w:tcPr>
          <w:p w14:paraId="22C043D0"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DLI 14</w:t>
            </w:r>
          </w:p>
          <w:p w14:paraId="44F634EA"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Harmonizing chart of accounts and reliable and timely consolidated fiscal reports</w:t>
            </w:r>
          </w:p>
        </w:tc>
        <w:tc>
          <w:tcPr>
            <w:tcW w:w="1103" w:type="pct"/>
          </w:tcPr>
          <w:p w14:paraId="4E60285D" w14:textId="3E1E75ED" w:rsidR="00B16F23" w:rsidRPr="00205204" w:rsidRDefault="00B16F23" w:rsidP="00C608D6">
            <w:pPr>
              <w:rPr>
                <w:rFonts w:asciiTheme="minorHAnsi" w:hAnsiTheme="minorHAnsi" w:cstheme="minorHAnsi"/>
              </w:rPr>
            </w:pPr>
          </w:p>
        </w:tc>
        <w:tc>
          <w:tcPr>
            <w:tcW w:w="1153" w:type="pct"/>
          </w:tcPr>
          <w:p w14:paraId="59F966C1"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14.2</w:t>
            </w:r>
          </w:p>
          <w:p w14:paraId="4FE7D454"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MoF’s newly established financial reporting unit has developed and adopted: (a) a harmonized/unified budget classification/chart of accounts; </w:t>
            </w:r>
            <w:r w:rsidRPr="00205204">
              <w:rPr>
                <w:rFonts w:asciiTheme="minorHAnsi" w:hAnsiTheme="minorHAnsi" w:cstheme="minorHAnsi"/>
              </w:rPr>
              <w:lastRenderedPageBreak/>
              <w:t xml:space="preserve">(b) control mechanisms to manage the expansion of the unified chart of accounts in line with the requirements of the MDAs at federal, state and local government-levels; and (c) standard reporting formats to collect and consolidate budget results from the SFMIS platforms and/or other financial management information systems at federal and state levels   </w:t>
            </w:r>
          </w:p>
        </w:tc>
        <w:tc>
          <w:tcPr>
            <w:tcW w:w="1501" w:type="pct"/>
          </w:tcPr>
          <w:p w14:paraId="0BC968AB"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lastRenderedPageBreak/>
              <w:t>DLR 14.3.1</w:t>
            </w:r>
          </w:p>
          <w:p w14:paraId="48C12CE8"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The Recipient has (a) prepared the budget for Fiscal Year 2022 using implemented the new unified chart of accounts (“CoA”); and (b) has issued instructions for the use of the new CoA in the SFMIS  as well as other </w:t>
            </w:r>
            <w:r w:rsidRPr="00205204">
              <w:rPr>
                <w:rFonts w:asciiTheme="minorHAnsi" w:hAnsiTheme="minorHAnsi" w:cstheme="minorHAnsi"/>
              </w:rPr>
              <w:lastRenderedPageBreak/>
              <w:t xml:space="preserve">financial management information platforms at federal and state levels for the  planned budget execution of Fiscal Year 2022 (US$0.25 mln).  </w:t>
            </w:r>
          </w:p>
          <w:p w14:paraId="35E49061" w14:textId="77777777" w:rsidR="00B16F23" w:rsidRPr="00205204" w:rsidRDefault="00B16F23" w:rsidP="00C608D6">
            <w:pPr>
              <w:rPr>
                <w:rFonts w:asciiTheme="minorHAnsi" w:hAnsiTheme="minorHAnsi" w:cstheme="minorHAnsi"/>
              </w:rPr>
            </w:pPr>
          </w:p>
          <w:p w14:paraId="1C83B9C0"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14.3.2</w:t>
            </w:r>
          </w:p>
          <w:p w14:paraId="0479AC6E"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MoF has published monthly fiscal report</w:t>
            </w:r>
            <w:r>
              <w:rPr>
                <w:rFonts w:asciiTheme="minorHAnsi" w:hAnsiTheme="minorHAnsi" w:cstheme="minorHAnsi"/>
              </w:rPr>
              <w:t>s</w:t>
            </w:r>
            <w:r w:rsidRPr="00205204">
              <w:rPr>
                <w:rFonts w:asciiTheme="minorHAnsi" w:hAnsiTheme="minorHAnsi" w:cstheme="minorHAnsi"/>
              </w:rPr>
              <w:t xml:space="preserve"> using  the new CoA and reporting formats in the </w:t>
            </w:r>
            <w:r>
              <w:rPr>
                <w:rFonts w:asciiTheme="minorHAnsi" w:hAnsiTheme="minorHAnsi" w:cstheme="minorHAnsi"/>
              </w:rPr>
              <w:t xml:space="preserve">financial management system </w:t>
            </w:r>
            <w:r w:rsidRPr="00205204">
              <w:rPr>
                <w:rFonts w:asciiTheme="minorHAnsi" w:hAnsiTheme="minorHAnsi" w:cstheme="minorHAnsi"/>
              </w:rPr>
              <w:t xml:space="preserve">platforms of the </w:t>
            </w:r>
            <w:r>
              <w:rPr>
                <w:rFonts w:asciiTheme="minorHAnsi" w:hAnsiTheme="minorHAnsi" w:cstheme="minorHAnsi"/>
              </w:rPr>
              <w:t xml:space="preserve">Recipient </w:t>
            </w:r>
            <w:r w:rsidRPr="00205204">
              <w:rPr>
                <w:rFonts w:asciiTheme="minorHAnsi" w:hAnsiTheme="minorHAnsi" w:cstheme="minorHAnsi"/>
              </w:rPr>
              <w:t>and FMSs starting from January 1, 2022 (US$0.25 mln)</w:t>
            </w:r>
          </w:p>
        </w:tc>
      </w:tr>
      <w:tr w:rsidR="00B16F23" w14:paraId="2B770826" w14:textId="77777777" w:rsidTr="00C608D6">
        <w:trPr>
          <w:trHeight w:val="20"/>
        </w:trPr>
        <w:tc>
          <w:tcPr>
            <w:tcW w:w="1243" w:type="pct"/>
          </w:tcPr>
          <w:p w14:paraId="77AB3D09" w14:textId="77777777" w:rsidR="00B16F23" w:rsidRPr="00205204" w:rsidRDefault="00B16F23" w:rsidP="00C608D6">
            <w:pPr>
              <w:tabs>
                <w:tab w:val="left" w:pos="7525"/>
              </w:tabs>
              <w:ind w:right="130"/>
              <w:jc w:val="center"/>
              <w:rPr>
                <w:rFonts w:asciiTheme="minorHAnsi" w:hAnsiTheme="minorHAnsi" w:cstheme="minorHAnsi"/>
              </w:rPr>
            </w:pPr>
            <w:r w:rsidRPr="00205204">
              <w:rPr>
                <w:rFonts w:asciiTheme="minorHAnsi" w:hAnsiTheme="minorHAnsi" w:cstheme="minorHAnsi"/>
              </w:rPr>
              <w:lastRenderedPageBreak/>
              <w:t>Disbursement (US$, millions)</w:t>
            </w:r>
          </w:p>
        </w:tc>
        <w:tc>
          <w:tcPr>
            <w:tcW w:w="1103" w:type="pct"/>
          </w:tcPr>
          <w:p w14:paraId="7F516DDD" w14:textId="77777777" w:rsidR="00B16F23" w:rsidRPr="00205204" w:rsidRDefault="00B16F23" w:rsidP="00C608D6">
            <w:pPr>
              <w:jc w:val="center"/>
              <w:rPr>
                <w:rFonts w:asciiTheme="minorHAnsi" w:hAnsiTheme="minorHAnsi" w:cstheme="minorHAnsi"/>
                <w:b/>
                <w:bCs/>
                <w:noProof/>
                <w:color w:val="262626" w:themeColor="text1" w:themeTint="D9"/>
              </w:rPr>
            </w:pPr>
            <w:r w:rsidRPr="00205204">
              <w:rPr>
                <w:rFonts w:asciiTheme="minorHAnsi" w:hAnsiTheme="minorHAnsi" w:cstheme="minorHAnsi"/>
                <w:b/>
                <w:bCs/>
                <w:noProof/>
                <w:color w:val="262626" w:themeColor="text1" w:themeTint="D9"/>
              </w:rPr>
              <w:t>1.0</w:t>
            </w:r>
          </w:p>
        </w:tc>
        <w:tc>
          <w:tcPr>
            <w:tcW w:w="1153" w:type="pct"/>
          </w:tcPr>
          <w:p w14:paraId="71F0B131" w14:textId="77777777" w:rsidR="00B16F23" w:rsidRPr="00205204" w:rsidRDefault="00B16F23" w:rsidP="00C608D6">
            <w:pPr>
              <w:jc w:val="center"/>
              <w:rPr>
                <w:rFonts w:asciiTheme="minorHAnsi" w:hAnsiTheme="minorHAnsi" w:cstheme="minorHAnsi"/>
                <w:b/>
                <w:bCs/>
                <w:noProof/>
                <w:color w:val="262626" w:themeColor="text1" w:themeTint="D9"/>
              </w:rPr>
            </w:pPr>
            <w:r w:rsidRPr="00205204">
              <w:rPr>
                <w:rFonts w:asciiTheme="minorHAnsi" w:hAnsiTheme="minorHAnsi" w:cstheme="minorHAnsi"/>
                <w:b/>
                <w:bCs/>
                <w:noProof/>
                <w:color w:val="262626" w:themeColor="text1" w:themeTint="D9"/>
              </w:rPr>
              <w:t>1.0</w:t>
            </w:r>
          </w:p>
        </w:tc>
        <w:tc>
          <w:tcPr>
            <w:tcW w:w="1501" w:type="pct"/>
          </w:tcPr>
          <w:p w14:paraId="39CA9305" w14:textId="77777777" w:rsidR="00B16F23" w:rsidRPr="00205204" w:rsidRDefault="00B16F23" w:rsidP="00C608D6">
            <w:pPr>
              <w:jc w:val="center"/>
              <w:rPr>
                <w:rFonts w:asciiTheme="minorHAnsi" w:hAnsiTheme="minorHAnsi" w:cstheme="minorHAnsi"/>
                <w:b/>
                <w:bCs/>
                <w:noProof/>
                <w:color w:val="262626" w:themeColor="text1" w:themeTint="D9"/>
              </w:rPr>
            </w:pPr>
            <w:r w:rsidRPr="00205204">
              <w:rPr>
                <w:rFonts w:asciiTheme="minorHAnsi" w:hAnsiTheme="minorHAnsi" w:cstheme="minorHAnsi"/>
                <w:b/>
                <w:bCs/>
                <w:noProof/>
                <w:color w:val="262626" w:themeColor="text1" w:themeTint="D9"/>
              </w:rPr>
              <w:t>0.5</w:t>
            </w:r>
          </w:p>
        </w:tc>
      </w:tr>
      <w:tr w:rsidR="00B16F23" w14:paraId="2A9975D9" w14:textId="77777777" w:rsidTr="00C608D6">
        <w:trPr>
          <w:trHeight w:val="20"/>
        </w:trPr>
        <w:tc>
          <w:tcPr>
            <w:tcW w:w="5000" w:type="pct"/>
            <w:gridSpan w:val="4"/>
            <w:vAlign w:val="center"/>
          </w:tcPr>
          <w:p w14:paraId="108071C6" w14:textId="77777777" w:rsidR="00B16F23" w:rsidRPr="00205204" w:rsidRDefault="00B16F23" w:rsidP="00C608D6">
            <w:pPr>
              <w:pStyle w:val="ListParagraph"/>
              <w:ind w:left="360"/>
              <w:contextualSpacing w:val="0"/>
              <w:jc w:val="center"/>
              <w:rPr>
                <w:rFonts w:cstheme="minorHAnsi"/>
                <w:b/>
                <w:bCs/>
              </w:rPr>
            </w:pPr>
            <w:r w:rsidRPr="00205204">
              <w:rPr>
                <w:rFonts w:cstheme="minorHAnsi"/>
                <w:b/>
                <w:bCs/>
              </w:rPr>
              <w:t>Area 4: Enhanced health service delivery systems</w:t>
            </w:r>
          </w:p>
        </w:tc>
      </w:tr>
      <w:tr w:rsidR="00B16F23" w14:paraId="605D6702" w14:textId="77777777" w:rsidTr="00C608D6">
        <w:trPr>
          <w:trHeight w:val="20"/>
        </w:trPr>
        <w:tc>
          <w:tcPr>
            <w:tcW w:w="1243" w:type="pct"/>
          </w:tcPr>
          <w:p w14:paraId="5C4AD328"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DLI 15</w:t>
            </w:r>
          </w:p>
          <w:p w14:paraId="3D9390C1"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Enhancing health service delivery systems </w:t>
            </w:r>
          </w:p>
        </w:tc>
        <w:tc>
          <w:tcPr>
            <w:tcW w:w="1103" w:type="pct"/>
          </w:tcPr>
          <w:p w14:paraId="6125132E"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15.1</w:t>
            </w:r>
          </w:p>
          <w:p w14:paraId="665DA818"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MoH has issued instructions to use the mobile phone infrastructure for improved delivery and performance management of the Marwo Caafimaad Program</w:t>
            </w:r>
          </w:p>
        </w:tc>
        <w:tc>
          <w:tcPr>
            <w:tcW w:w="1153" w:type="pct"/>
          </w:tcPr>
          <w:p w14:paraId="32069F80"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15.2</w:t>
            </w:r>
          </w:p>
          <w:p w14:paraId="4321B1DD"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MoH has piloted  data gathering from, and training of, female health works (“FHW”) and female health supervisors (“FHS”) in at least two (2) FMSs or one FMS and BRA.</w:t>
            </w:r>
          </w:p>
        </w:tc>
        <w:tc>
          <w:tcPr>
            <w:tcW w:w="1501" w:type="pct"/>
          </w:tcPr>
          <w:p w14:paraId="7EB1463F"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15.3.1</w:t>
            </w:r>
          </w:p>
          <w:p w14:paraId="71E0CC5B"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MoH and the FMoHs have recruited, trained, and deployed at least 700 FHW/FHS (US$0.25 mln).</w:t>
            </w:r>
          </w:p>
          <w:p w14:paraId="580CA76F" w14:textId="77777777" w:rsidR="00B16F23" w:rsidRPr="00205204" w:rsidRDefault="00B16F23" w:rsidP="00C608D6">
            <w:pPr>
              <w:rPr>
                <w:rFonts w:asciiTheme="minorHAnsi" w:hAnsiTheme="minorHAnsi" w:cstheme="minorHAnsi"/>
              </w:rPr>
            </w:pPr>
          </w:p>
          <w:p w14:paraId="78802836"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15.3.2</w:t>
            </w:r>
          </w:p>
          <w:p w14:paraId="6793861E"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FHW/FHS are reporting their activities using mobiles/tablets (US$0.25 mln).</w:t>
            </w:r>
          </w:p>
          <w:p w14:paraId="218D1952" w14:textId="77777777" w:rsidR="00B16F23" w:rsidRPr="00205204" w:rsidRDefault="00B16F23" w:rsidP="00C608D6">
            <w:pPr>
              <w:rPr>
                <w:rFonts w:asciiTheme="minorHAnsi" w:hAnsiTheme="minorHAnsi" w:cstheme="minorHAnsi"/>
              </w:rPr>
            </w:pPr>
          </w:p>
          <w:p w14:paraId="3D113242"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15.3.3</w:t>
            </w:r>
          </w:p>
          <w:p w14:paraId="57C1F527"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MoH has reached out to at least 500 pregnant women using mobile phones (US$0.25 mln).</w:t>
            </w:r>
          </w:p>
          <w:p w14:paraId="46E6B794" w14:textId="77777777" w:rsidR="00B16F23" w:rsidRPr="00205204" w:rsidRDefault="00B16F23" w:rsidP="00C608D6">
            <w:pPr>
              <w:rPr>
                <w:rFonts w:asciiTheme="minorHAnsi" w:hAnsiTheme="minorHAnsi" w:cstheme="minorHAnsi"/>
              </w:rPr>
            </w:pPr>
          </w:p>
          <w:p w14:paraId="1C1D7D83"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15.3.4</w:t>
            </w:r>
          </w:p>
          <w:p w14:paraId="3264CEC7"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MoH has</w:t>
            </w:r>
            <w:r>
              <w:rPr>
                <w:rFonts w:asciiTheme="minorHAnsi" w:hAnsiTheme="minorHAnsi" w:cstheme="minorHAnsi"/>
              </w:rPr>
              <w:t>: (a)</w:t>
            </w:r>
            <w:r w:rsidRPr="00205204">
              <w:rPr>
                <w:rFonts w:asciiTheme="minorHAnsi" w:hAnsiTheme="minorHAnsi" w:cstheme="minorHAnsi"/>
              </w:rPr>
              <w:t xml:space="preserve"> conducted a stocktaking exercise on the lessons learned from the roll-out of the ICT-based data gathering, beneficiary engagement and training of FHW</w:t>
            </w:r>
            <w:r>
              <w:rPr>
                <w:rFonts w:asciiTheme="minorHAnsi" w:hAnsiTheme="minorHAnsi" w:cstheme="minorHAnsi"/>
              </w:rPr>
              <w:t>/</w:t>
            </w:r>
            <w:r w:rsidRPr="00205204">
              <w:rPr>
                <w:rFonts w:asciiTheme="minorHAnsi" w:hAnsiTheme="minorHAnsi" w:cstheme="minorHAnsi"/>
              </w:rPr>
              <w:t>FHS</w:t>
            </w:r>
            <w:r>
              <w:rPr>
                <w:rFonts w:asciiTheme="minorHAnsi" w:hAnsiTheme="minorHAnsi" w:cstheme="minorHAnsi"/>
              </w:rPr>
              <w:t>;</w:t>
            </w:r>
            <w:r w:rsidRPr="00205204">
              <w:rPr>
                <w:rFonts w:asciiTheme="minorHAnsi" w:hAnsiTheme="minorHAnsi" w:cstheme="minorHAnsi"/>
              </w:rPr>
              <w:t xml:space="preserve"> and</w:t>
            </w:r>
            <w:r>
              <w:rPr>
                <w:rFonts w:asciiTheme="minorHAnsi" w:hAnsiTheme="minorHAnsi" w:cstheme="minorHAnsi"/>
              </w:rPr>
              <w:t xml:space="preserve"> (b)</w:t>
            </w:r>
            <w:r w:rsidRPr="00205204">
              <w:rPr>
                <w:rFonts w:asciiTheme="minorHAnsi" w:hAnsiTheme="minorHAnsi" w:cstheme="minorHAnsi"/>
              </w:rPr>
              <w:t xml:space="preserve"> approved an action plan </w:t>
            </w:r>
            <w:r w:rsidRPr="00205204">
              <w:rPr>
                <w:rFonts w:asciiTheme="minorHAnsi" w:hAnsiTheme="minorHAnsi" w:cstheme="minorHAnsi"/>
              </w:rPr>
              <w:lastRenderedPageBreak/>
              <w:t xml:space="preserve">for </w:t>
            </w:r>
            <w:r>
              <w:rPr>
                <w:rFonts w:asciiTheme="minorHAnsi" w:hAnsiTheme="minorHAnsi" w:cstheme="minorHAnsi"/>
              </w:rPr>
              <w:t xml:space="preserve">calendar year </w:t>
            </w:r>
            <w:r w:rsidRPr="00205204">
              <w:rPr>
                <w:rFonts w:asciiTheme="minorHAnsi" w:hAnsiTheme="minorHAnsi" w:cstheme="minorHAnsi"/>
              </w:rPr>
              <w:t>2022 to further strengthen and broaden the ICT-based data gathering, beneficiary engagement and training of FHW and FHS (US$0.25 mln).</w:t>
            </w:r>
          </w:p>
        </w:tc>
      </w:tr>
      <w:tr w:rsidR="00B16F23" w14:paraId="62463463" w14:textId="77777777" w:rsidTr="00C608D6">
        <w:trPr>
          <w:trHeight w:val="20"/>
        </w:trPr>
        <w:tc>
          <w:tcPr>
            <w:tcW w:w="1243" w:type="pct"/>
          </w:tcPr>
          <w:p w14:paraId="7A4592D6" w14:textId="77777777" w:rsidR="00B16F23" w:rsidRPr="00205204" w:rsidRDefault="00B16F23" w:rsidP="00C608D6">
            <w:pPr>
              <w:tabs>
                <w:tab w:val="left" w:pos="7525"/>
              </w:tabs>
              <w:ind w:right="130"/>
              <w:rPr>
                <w:rFonts w:asciiTheme="minorHAnsi" w:hAnsiTheme="minorHAnsi" w:cstheme="minorHAnsi"/>
              </w:rPr>
            </w:pPr>
            <w:r w:rsidRPr="00205204">
              <w:rPr>
                <w:rFonts w:asciiTheme="minorHAnsi" w:hAnsiTheme="minorHAnsi" w:cstheme="minorHAnsi"/>
              </w:rPr>
              <w:lastRenderedPageBreak/>
              <w:t>Disbursement (US$, millions)</w:t>
            </w:r>
          </w:p>
        </w:tc>
        <w:tc>
          <w:tcPr>
            <w:tcW w:w="1103" w:type="pct"/>
          </w:tcPr>
          <w:p w14:paraId="5A1F1726" w14:textId="77777777" w:rsidR="00B16F23" w:rsidRPr="00205204" w:rsidRDefault="00B16F23" w:rsidP="00C608D6">
            <w:pPr>
              <w:jc w:val="center"/>
              <w:rPr>
                <w:rFonts w:asciiTheme="minorHAnsi" w:hAnsiTheme="minorHAnsi" w:cstheme="minorHAnsi"/>
                <w:b/>
                <w:bCs/>
                <w:noProof/>
                <w:color w:val="262626" w:themeColor="text1" w:themeTint="D9"/>
              </w:rPr>
            </w:pPr>
            <w:r w:rsidRPr="00205204">
              <w:rPr>
                <w:rFonts w:asciiTheme="minorHAnsi" w:hAnsiTheme="minorHAnsi" w:cstheme="minorHAnsi"/>
                <w:b/>
                <w:bCs/>
                <w:noProof/>
                <w:color w:val="262626" w:themeColor="text1" w:themeTint="D9"/>
              </w:rPr>
              <w:t>1.0</w:t>
            </w:r>
          </w:p>
        </w:tc>
        <w:tc>
          <w:tcPr>
            <w:tcW w:w="1153" w:type="pct"/>
          </w:tcPr>
          <w:p w14:paraId="75C7ECEF" w14:textId="77777777" w:rsidR="00B16F23" w:rsidRPr="00205204" w:rsidRDefault="00B16F23" w:rsidP="00C608D6">
            <w:pPr>
              <w:jc w:val="center"/>
              <w:rPr>
                <w:rFonts w:asciiTheme="minorHAnsi" w:hAnsiTheme="minorHAnsi" w:cstheme="minorHAnsi"/>
                <w:b/>
                <w:bCs/>
                <w:noProof/>
                <w:color w:val="262626" w:themeColor="text1" w:themeTint="D9"/>
              </w:rPr>
            </w:pPr>
            <w:r w:rsidRPr="00205204">
              <w:rPr>
                <w:rFonts w:asciiTheme="minorHAnsi" w:hAnsiTheme="minorHAnsi" w:cstheme="minorHAnsi"/>
                <w:b/>
                <w:bCs/>
                <w:noProof/>
                <w:color w:val="262626" w:themeColor="text1" w:themeTint="D9"/>
              </w:rPr>
              <w:t>1.0</w:t>
            </w:r>
          </w:p>
        </w:tc>
        <w:tc>
          <w:tcPr>
            <w:tcW w:w="1501" w:type="pct"/>
          </w:tcPr>
          <w:p w14:paraId="11D98EC1" w14:textId="77777777" w:rsidR="00B16F23" w:rsidRPr="00205204" w:rsidRDefault="00B16F23" w:rsidP="00C608D6">
            <w:pPr>
              <w:jc w:val="center"/>
              <w:rPr>
                <w:rFonts w:asciiTheme="minorHAnsi" w:hAnsiTheme="minorHAnsi" w:cstheme="minorHAnsi"/>
                <w:b/>
                <w:bCs/>
                <w:noProof/>
                <w:color w:val="262626" w:themeColor="text1" w:themeTint="D9"/>
              </w:rPr>
            </w:pPr>
            <w:r w:rsidRPr="00205204">
              <w:rPr>
                <w:rFonts w:asciiTheme="minorHAnsi" w:hAnsiTheme="minorHAnsi" w:cstheme="minorHAnsi"/>
                <w:b/>
                <w:bCs/>
                <w:noProof/>
                <w:color w:val="262626" w:themeColor="text1" w:themeTint="D9"/>
              </w:rPr>
              <w:t>1.0</w:t>
            </w:r>
          </w:p>
        </w:tc>
      </w:tr>
      <w:tr w:rsidR="00B16F23" w14:paraId="24F4474C" w14:textId="77777777" w:rsidTr="00C608D6">
        <w:trPr>
          <w:trHeight w:val="20"/>
        </w:trPr>
        <w:tc>
          <w:tcPr>
            <w:tcW w:w="1243" w:type="pct"/>
          </w:tcPr>
          <w:p w14:paraId="3A54B599" w14:textId="77777777" w:rsidR="00B16F23" w:rsidRPr="00205204" w:rsidRDefault="00B16F23" w:rsidP="00C608D6">
            <w:pPr>
              <w:rPr>
                <w:rFonts w:asciiTheme="minorHAnsi" w:hAnsiTheme="minorHAnsi" w:cstheme="minorHAnsi"/>
                <w:b/>
                <w:bCs/>
              </w:rPr>
            </w:pPr>
            <w:r w:rsidRPr="00205204">
              <w:rPr>
                <w:rFonts w:asciiTheme="minorHAnsi" w:hAnsiTheme="minorHAnsi" w:cstheme="minorHAnsi"/>
                <w:b/>
                <w:bCs/>
              </w:rPr>
              <w:t xml:space="preserve">Total </w:t>
            </w:r>
          </w:p>
        </w:tc>
        <w:tc>
          <w:tcPr>
            <w:tcW w:w="1103" w:type="pct"/>
          </w:tcPr>
          <w:p w14:paraId="5EC77D2E" w14:textId="77777777" w:rsidR="00B16F23" w:rsidRPr="00205204" w:rsidRDefault="00B16F23" w:rsidP="00C608D6">
            <w:pPr>
              <w:jc w:val="center"/>
              <w:rPr>
                <w:rFonts w:asciiTheme="minorHAnsi" w:hAnsiTheme="minorHAnsi" w:cstheme="minorHAnsi"/>
                <w:b/>
                <w:bCs/>
              </w:rPr>
            </w:pPr>
            <w:r w:rsidRPr="00205204">
              <w:rPr>
                <w:rFonts w:asciiTheme="minorHAnsi" w:hAnsiTheme="minorHAnsi" w:cstheme="minorHAnsi"/>
                <w:b/>
                <w:bCs/>
              </w:rPr>
              <w:t>7</w:t>
            </w:r>
          </w:p>
        </w:tc>
        <w:tc>
          <w:tcPr>
            <w:tcW w:w="1153" w:type="pct"/>
          </w:tcPr>
          <w:p w14:paraId="261A3C4F" w14:textId="77777777" w:rsidR="00B16F23" w:rsidRPr="00205204" w:rsidRDefault="00B16F23" w:rsidP="00C608D6">
            <w:pPr>
              <w:jc w:val="center"/>
              <w:rPr>
                <w:rFonts w:asciiTheme="minorHAnsi" w:hAnsiTheme="minorHAnsi" w:cstheme="minorHAnsi"/>
                <w:b/>
                <w:bCs/>
              </w:rPr>
            </w:pPr>
            <w:r w:rsidRPr="00205204">
              <w:rPr>
                <w:rFonts w:asciiTheme="minorHAnsi" w:hAnsiTheme="minorHAnsi" w:cstheme="minorHAnsi"/>
                <w:b/>
                <w:bCs/>
              </w:rPr>
              <w:t>5</w:t>
            </w:r>
          </w:p>
        </w:tc>
        <w:tc>
          <w:tcPr>
            <w:tcW w:w="1501" w:type="pct"/>
          </w:tcPr>
          <w:p w14:paraId="57885A12" w14:textId="77777777" w:rsidR="00B16F23" w:rsidRPr="00205204" w:rsidRDefault="00B16F23" w:rsidP="00C608D6">
            <w:pPr>
              <w:jc w:val="center"/>
              <w:rPr>
                <w:rFonts w:asciiTheme="minorHAnsi" w:hAnsiTheme="minorHAnsi" w:cstheme="minorHAnsi"/>
                <w:b/>
                <w:bCs/>
              </w:rPr>
            </w:pPr>
            <w:r w:rsidRPr="00205204">
              <w:rPr>
                <w:rFonts w:asciiTheme="minorHAnsi" w:hAnsiTheme="minorHAnsi" w:cstheme="minorHAnsi"/>
                <w:b/>
                <w:bCs/>
              </w:rPr>
              <w:t>8</w:t>
            </w:r>
          </w:p>
        </w:tc>
      </w:tr>
    </w:tbl>
    <w:p w14:paraId="4A5FF185" w14:textId="77777777" w:rsidR="00B16F23" w:rsidRDefault="00B16F23" w:rsidP="00B16F23">
      <w:pPr>
        <w:rPr>
          <w:noProof/>
          <w:sz w:val="22"/>
          <w:szCs w:val="22"/>
        </w:rPr>
      </w:pPr>
      <w:r>
        <w:rPr>
          <w:noProof/>
          <w:sz w:val="22"/>
          <w:szCs w:val="22"/>
        </w:rPr>
        <w:br w:type="page"/>
      </w:r>
    </w:p>
    <w:tbl>
      <w:tblPr>
        <w:tblStyle w:val="TableGrid1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ook w:val="04A0" w:firstRow="1" w:lastRow="0" w:firstColumn="1" w:lastColumn="0" w:noHBand="0" w:noVBand="1"/>
      </w:tblPr>
      <w:tblGrid>
        <w:gridCol w:w="12960"/>
      </w:tblGrid>
      <w:tr w:rsidR="00B16F23" w14:paraId="5E1A839F" w14:textId="77777777" w:rsidTr="00C608D6">
        <w:trPr>
          <w:trHeight w:val="117"/>
        </w:trPr>
        <w:tc>
          <w:tcPr>
            <w:tcW w:w="5000" w:type="pct"/>
            <w:shd w:val="clear" w:color="auto" w:fill="F7F7F7"/>
            <w:vAlign w:val="center"/>
          </w:tcPr>
          <w:p w14:paraId="5DC15D05" w14:textId="1B8793D6" w:rsidR="00B16F23" w:rsidRPr="00955DC3" w:rsidRDefault="00B16F23" w:rsidP="00044B78">
            <w:pPr>
              <w:pStyle w:val="NoSpacing"/>
              <w:widowControl w:val="0"/>
              <w:autoSpaceDE w:val="0"/>
              <w:autoSpaceDN w:val="0"/>
              <w:adjustRightInd w:val="0"/>
              <w:jc w:val="center"/>
              <w:outlineLvl w:val="0"/>
              <w:rPr>
                <w:rFonts w:cstheme="minorHAnsi"/>
                <w:b/>
                <w:bCs/>
                <w:sz w:val="22"/>
                <w:szCs w:val="22"/>
              </w:rPr>
            </w:pPr>
            <w:r w:rsidRPr="00955DC3">
              <w:rPr>
                <w:rFonts w:cstheme="minorHAnsi"/>
                <w:b/>
                <w:bCs/>
                <w:sz w:val="22"/>
                <w:szCs w:val="22"/>
              </w:rPr>
              <w:lastRenderedPageBreak/>
              <w:t xml:space="preserve">Annex </w:t>
            </w:r>
            <w:r w:rsidR="00044B78">
              <w:rPr>
                <w:rFonts w:cstheme="minorHAnsi"/>
                <w:b/>
                <w:bCs/>
                <w:sz w:val="22"/>
                <w:szCs w:val="22"/>
              </w:rPr>
              <w:t>B-</w:t>
            </w:r>
            <w:r w:rsidRPr="00955DC3">
              <w:rPr>
                <w:rFonts w:cstheme="minorHAnsi"/>
                <w:b/>
                <w:bCs/>
                <w:sz w:val="22"/>
                <w:szCs w:val="22"/>
              </w:rPr>
              <w:t>2: 2021 restructuring DLIs Verification Protocol Table</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15"/>
        <w:gridCol w:w="3781"/>
        <w:gridCol w:w="1531"/>
        <w:gridCol w:w="2160"/>
        <w:gridCol w:w="1261"/>
        <w:gridCol w:w="1702"/>
      </w:tblGrid>
      <w:tr w:rsidR="00B16F23" w14:paraId="14090A22" w14:textId="77777777" w:rsidTr="00C608D6">
        <w:trPr>
          <w:trHeight w:val="20"/>
          <w:tblHeader/>
        </w:trPr>
        <w:tc>
          <w:tcPr>
            <w:tcW w:w="971" w:type="pct"/>
            <w:vMerge w:val="restart"/>
            <w:shd w:val="clear" w:color="auto" w:fill="auto"/>
            <w:tcMar>
              <w:top w:w="0" w:type="dxa"/>
              <w:left w:w="108" w:type="dxa"/>
              <w:bottom w:w="0" w:type="dxa"/>
              <w:right w:w="108" w:type="dxa"/>
            </w:tcMar>
            <w:hideMark/>
          </w:tcPr>
          <w:p w14:paraId="022FA960" w14:textId="77777777" w:rsidR="00B16F23" w:rsidRPr="00205204" w:rsidRDefault="00B16F23" w:rsidP="00C608D6">
            <w:pPr>
              <w:jc w:val="center"/>
              <w:rPr>
                <w:rFonts w:asciiTheme="minorHAnsi" w:hAnsiTheme="minorHAnsi" w:cstheme="minorHAnsi"/>
                <w:b/>
                <w:bCs/>
              </w:rPr>
            </w:pPr>
            <w:r w:rsidRPr="00205204">
              <w:rPr>
                <w:rFonts w:asciiTheme="minorHAnsi" w:hAnsiTheme="minorHAnsi" w:cstheme="minorHAnsi"/>
                <w:b/>
                <w:bCs/>
              </w:rPr>
              <w:t>DLIs</w:t>
            </w:r>
          </w:p>
        </w:tc>
        <w:tc>
          <w:tcPr>
            <w:tcW w:w="1460" w:type="pct"/>
            <w:shd w:val="clear" w:color="auto" w:fill="auto"/>
            <w:tcMar>
              <w:top w:w="0" w:type="dxa"/>
              <w:left w:w="108" w:type="dxa"/>
              <w:bottom w:w="0" w:type="dxa"/>
              <w:right w:w="108" w:type="dxa"/>
            </w:tcMar>
            <w:hideMark/>
          </w:tcPr>
          <w:p w14:paraId="79816E9C" w14:textId="77777777" w:rsidR="00B16F23" w:rsidRPr="00205204" w:rsidRDefault="00B16F23" w:rsidP="00C608D6">
            <w:pPr>
              <w:jc w:val="center"/>
              <w:rPr>
                <w:rFonts w:asciiTheme="minorHAnsi" w:hAnsiTheme="minorHAnsi" w:cstheme="minorHAnsi"/>
                <w:b/>
                <w:bCs/>
              </w:rPr>
            </w:pPr>
            <w:r w:rsidRPr="00205204">
              <w:rPr>
                <w:rFonts w:asciiTheme="minorHAnsi" w:hAnsiTheme="minorHAnsi" w:cstheme="minorHAnsi"/>
                <w:b/>
                <w:bCs/>
              </w:rPr>
              <w:t>Definition/Description of Achievement</w:t>
            </w:r>
          </w:p>
        </w:tc>
        <w:tc>
          <w:tcPr>
            <w:tcW w:w="591" w:type="pct"/>
            <w:shd w:val="clear" w:color="auto" w:fill="auto"/>
            <w:tcMar>
              <w:top w:w="0" w:type="dxa"/>
              <w:left w:w="108" w:type="dxa"/>
              <w:bottom w:w="0" w:type="dxa"/>
              <w:right w:w="108" w:type="dxa"/>
            </w:tcMar>
            <w:hideMark/>
          </w:tcPr>
          <w:p w14:paraId="757D535A" w14:textId="77777777" w:rsidR="00B16F23" w:rsidRPr="00205204" w:rsidRDefault="00B16F23" w:rsidP="00C608D6">
            <w:pPr>
              <w:jc w:val="center"/>
              <w:rPr>
                <w:rFonts w:asciiTheme="minorHAnsi" w:hAnsiTheme="minorHAnsi" w:cstheme="minorHAnsi"/>
                <w:b/>
                <w:bCs/>
              </w:rPr>
            </w:pPr>
            <w:r w:rsidRPr="00205204">
              <w:rPr>
                <w:rFonts w:asciiTheme="minorHAnsi" w:hAnsiTheme="minorHAnsi" w:cstheme="minorHAnsi"/>
                <w:b/>
                <w:bCs/>
              </w:rPr>
              <w:t>Scalability of Disbursements (Yes/No)</w:t>
            </w:r>
          </w:p>
        </w:tc>
        <w:tc>
          <w:tcPr>
            <w:tcW w:w="1978" w:type="pct"/>
            <w:gridSpan w:val="3"/>
            <w:shd w:val="clear" w:color="auto" w:fill="auto"/>
            <w:tcMar>
              <w:top w:w="0" w:type="dxa"/>
              <w:left w:w="108" w:type="dxa"/>
              <w:bottom w:w="0" w:type="dxa"/>
              <w:right w:w="108" w:type="dxa"/>
            </w:tcMar>
            <w:hideMark/>
          </w:tcPr>
          <w:p w14:paraId="63F39E34" w14:textId="77777777" w:rsidR="00B16F23" w:rsidRPr="00205204" w:rsidRDefault="00B16F23" w:rsidP="00C608D6">
            <w:pPr>
              <w:jc w:val="center"/>
              <w:rPr>
                <w:rFonts w:asciiTheme="minorHAnsi" w:hAnsiTheme="minorHAnsi" w:cstheme="minorHAnsi"/>
                <w:b/>
                <w:bCs/>
              </w:rPr>
            </w:pPr>
            <w:r w:rsidRPr="00205204">
              <w:rPr>
                <w:rFonts w:asciiTheme="minorHAnsi" w:hAnsiTheme="minorHAnsi" w:cstheme="minorHAnsi"/>
                <w:b/>
                <w:bCs/>
              </w:rPr>
              <w:t>Protocol to Evaluate Achievement of the DLIs and Data/Result Verification</w:t>
            </w:r>
          </w:p>
        </w:tc>
      </w:tr>
      <w:tr w:rsidR="00B16F23" w14:paraId="41005C5C" w14:textId="77777777" w:rsidTr="00C608D6">
        <w:trPr>
          <w:trHeight w:val="20"/>
          <w:tblHeader/>
        </w:trPr>
        <w:tc>
          <w:tcPr>
            <w:tcW w:w="971" w:type="pct"/>
            <w:vMerge/>
            <w:shd w:val="clear" w:color="auto" w:fill="auto"/>
            <w:hideMark/>
          </w:tcPr>
          <w:p w14:paraId="39D67AA4" w14:textId="77777777" w:rsidR="00B16F23" w:rsidRPr="00205204" w:rsidRDefault="00B16F23" w:rsidP="00C608D6">
            <w:pPr>
              <w:jc w:val="center"/>
              <w:rPr>
                <w:rFonts w:asciiTheme="minorHAnsi" w:eastAsiaTheme="minorHAnsi" w:hAnsiTheme="minorHAnsi" w:cstheme="minorHAnsi"/>
                <w:b/>
                <w:bCs/>
              </w:rPr>
            </w:pPr>
          </w:p>
        </w:tc>
        <w:tc>
          <w:tcPr>
            <w:tcW w:w="1460" w:type="pct"/>
            <w:shd w:val="clear" w:color="auto" w:fill="auto"/>
            <w:tcMar>
              <w:top w:w="0" w:type="dxa"/>
              <w:left w:w="108" w:type="dxa"/>
              <w:bottom w:w="0" w:type="dxa"/>
              <w:right w:w="108" w:type="dxa"/>
            </w:tcMar>
            <w:hideMark/>
          </w:tcPr>
          <w:p w14:paraId="742BB992" w14:textId="77777777" w:rsidR="00B16F23" w:rsidRPr="00205204" w:rsidRDefault="00B16F23" w:rsidP="00C608D6">
            <w:pPr>
              <w:jc w:val="center"/>
              <w:rPr>
                <w:rFonts w:asciiTheme="minorHAnsi" w:hAnsiTheme="minorHAnsi" w:cstheme="minorHAnsi"/>
                <w:b/>
                <w:bCs/>
              </w:rPr>
            </w:pPr>
          </w:p>
        </w:tc>
        <w:tc>
          <w:tcPr>
            <w:tcW w:w="591" w:type="pct"/>
            <w:shd w:val="clear" w:color="auto" w:fill="auto"/>
            <w:tcMar>
              <w:top w:w="0" w:type="dxa"/>
              <w:left w:w="108" w:type="dxa"/>
              <w:bottom w:w="0" w:type="dxa"/>
              <w:right w:w="108" w:type="dxa"/>
            </w:tcMar>
            <w:hideMark/>
          </w:tcPr>
          <w:p w14:paraId="4C7B07A1" w14:textId="77777777" w:rsidR="00B16F23" w:rsidRPr="00205204" w:rsidRDefault="00B16F23" w:rsidP="00C608D6">
            <w:pPr>
              <w:jc w:val="center"/>
              <w:rPr>
                <w:rFonts w:asciiTheme="minorHAnsi" w:hAnsiTheme="minorHAnsi" w:cstheme="minorHAnsi"/>
                <w:b/>
                <w:bCs/>
              </w:rPr>
            </w:pPr>
          </w:p>
        </w:tc>
        <w:tc>
          <w:tcPr>
            <w:tcW w:w="834" w:type="pct"/>
            <w:shd w:val="clear" w:color="auto" w:fill="auto"/>
            <w:tcMar>
              <w:top w:w="0" w:type="dxa"/>
              <w:left w:w="108" w:type="dxa"/>
              <w:bottom w:w="0" w:type="dxa"/>
              <w:right w:w="108" w:type="dxa"/>
            </w:tcMar>
            <w:hideMark/>
          </w:tcPr>
          <w:p w14:paraId="26E0936A" w14:textId="77777777" w:rsidR="00B16F23" w:rsidRPr="00205204" w:rsidRDefault="00B16F23" w:rsidP="00C608D6">
            <w:pPr>
              <w:jc w:val="center"/>
              <w:rPr>
                <w:rFonts w:asciiTheme="minorHAnsi" w:hAnsiTheme="minorHAnsi" w:cstheme="minorHAnsi"/>
                <w:b/>
                <w:bCs/>
              </w:rPr>
            </w:pPr>
            <w:r w:rsidRPr="00205204">
              <w:rPr>
                <w:rFonts w:asciiTheme="minorHAnsi" w:hAnsiTheme="minorHAnsi" w:cstheme="minorHAnsi"/>
                <w:b/>
                <w:bCs/>
              </w:rPr>
              <w:t>Data Source/Agency</w:t>
            </w:r>
          </w:p>
        </w:tc>
        <w:tc>
          <w:tcPr>
            <w:tcW w:w="487" w:type="pct"/>
            <w:shd w:val="clear" w:color="auto" w:fill="auto"/>
            <w:tcMar>
              <w:top w:w="0" w:type="dxa"/>
              <w:left w:w="108" w:type="dxa"/>
              <w:bottom w:w="0" w:type="dxa"/>
              <w:right w:w="108" w:type="dxa"/>
            </w:tcMar>
            <w:hideMark/>
          </w:tcPr>
          <w:p w14:paraId="108420E1" w14:textId="77777777" w:rsidR="00B16F23" w:rsidRPr="00205204" w:rsidRDefault="00B16F23" w:rsidP="00C608D6">
            <w:pPr>
              <w:jc w:val="center"/>
              <w:rPr>
                <w:rFonts w:asciiTheme="minorHAnsi" w:hAnsiTheme="minorHAnsi" w:cstheme="minorHAnsi"/>
                <w:b/>
                <w:bCs/>
              </w:rPr>
            </w:pPr>
            <w:r w:rsidRPr="00205204">
              <w:rPr>
                <w:rFonts w:asciiTheme="minorHAnsi" w:hAnsiTheme="minorHAnsi" w:cstheme="minorHAnsi"/>
                <w:b/>
                <w:bCs/>
              </w:rPr>
              <w:t>Verification</w:t>
            </w:r>
          </w:p>
        </w:tc>
        <w:tc>
          <w:tcPr>
            <w:tcW w:w="657" w:type="pct"/>
            <w:shd w:val="clear" w:color="auto" w:fill="auto"/>
            <w:tcMar>
              <w:top w:w="0" w:type="dxa"/>
              <w:left w:w="108" w:type="dxa"/>
              <w:bottom w:w="0" w:type="dxa"/>
              <w:right w:w="108" w:type="dxa"/>
            </w:tcMar>
            <w:hideMark/>
          </w:tcPr>
          <w:p w14:paraId="37EE0346" w14:textId="77777777" w:rsidR="00B16F23" w:rsidRPr="00205204" w:rsidRDefault="00B16F23" w:rsidP="00C608D6">
            <w:pPr>
              <w:jc w:val="center"/>
              <w:rPr>
                <w:rFonts w:asciiTheme="minorHAnsi" w:hAnsiTheme="minorHAnsi" w:cstheme="minorHAnsi"/>
                <w:b/>
                <w:bCs/>
              </w:rPr>
            </w:pPr>
            <w:r w:rsidRPr="00205204">
              <w:rPr>
                <w:rFonts w:asciiTheme="minorHAnsi" w:hAnsiTheme="minorHAnsi" w:cstheme="minorHAnsi"/>
                <w:b/>
                <w:bCs/>
              </w:rPr>
              <w:t>Procedure</w:t>
            </w:r>
          </w:p>
        </w:tc>
      </w:tr>
      <w:tr w:rsidR="00B16F23" w14:paraId="5B52362E" w14:textId="77777777" w:rsidTr="00C608D6">
        <w:trPr>
          <w:trHeight w:val="20"/>
        </w:trPr>
        <w:tc>
          <w:tcPr>
            <w:tcW w:w="5000" w:type="pct"/>
            <w:gridSpan w:val="6"/>
            <w:shd w:val="clear" w:color="auto" w:fill="auto"/>
            <w:tcMar>
              <w:top w:w="0" w:type="dxa"/>
              <w:left w:w="108" w:type="dxa"/>
              <w:bottom w:w="0" w:type="dxa"/>
              <w:right w:w="108" w:type="dxa"/>
            </w:tcMar>
            <w:hideMark/>
          </w:tcPr>
          <w:p w14:paraId="45E41DA6" w14:textId="77777777" w:rsidR="00B16F23" w:rsidRPr="00205204" w:rsidRDefault="00B16F23" w:rsidP="00C608D6">
            <w:pPr>
              <w:jc w:val="center"/>
              <w:rPr>
                <w:rFonts w:asciiTheme="minorHAnsi" w:hAnsiTheme="minorHAnsi" w:cstheme="minorHAnsi"/>
              </w:rPr>
            </w:pPr>
            <w:r w:rsidRPr="00205204">
              <w:rPr>
                <w:rFonts w:asciiTheme="minorHAnsi" w:hAnsiTheme="minorHAnsi" w:cstheme="minorHAnsi"/>
                <w:b/>
                <w:bCs/>
                <w:color w:val="000000"/>
              </w:rPr>
              <w:t>DLI 8: Reforming civil service legislation</w:t>
            </w:r>
          </w:p>
        </w:tc>
      </w:tr>
      <w:tr w:rsidR="00B16F23" w14:paraId="5CF4E77F" w14:textId="77777777" w:rsidTr="00C608D6">
        <w:trPr>
          <w:trHeight w:val="20"/>
        </w:trPr>
        <w:tc>
          <w:tcPr>
            <w:tcW w:w="971" w:type="pct"/>
            <w:shd w:val="clear" w:color="auto" w:fill="auto"/>
            <w:tcMar>
              <w:top w:w="0" w:type="dxa"/>
              <w:left w:w="108" w:type="dxa"/>
              <w:bottom w:w="0" w:type="dxa"/>
              <w:right w:w="108" w:type="dxa"/>
            </w:tcMar>
            <w:hideMark/>
          </w:tcPr>
          <w:p w14:paraId="7BF56A7C" w14:textId="77777777" w:rsidR="00B16F23" w:rsidRPr="00205204" w:rsidRDefault="00B16F23" w:rsidP="00C608D6">
            <w:pPr>
              <w:rPr>
                <w:rFonts w:asciiTheme="minorHAnsi" w:hAnsiTheme="minorHAnsi" w:cstheme="minorHAnsi"/>
                <w:color w:val="262626"/>
              </w:rPr>
            </w:pPr>
            <w:r w:rsidRPr="00205204">
              <w:rPr>
                <w:rFonts w:asciiTheme="minorHAnsi" w:hAnsiTheme="minorHAnsi" w:cstheme="minorHAnsi"/>
                <w:color w:val="262626"/>
              </w:rPr>
              <w:t xml:space="preserve">DLR 8.1 </w:t>
            </w:r>
          </w:p>
          <w:p w14:paraId="110306D8" w14:textId="77777777" w:rsidR="00B16F23" w:rsidRPr="00205204" w:rsidRDefault="00B16F23" w:rsidP="00C608D6">
            <w:pPr>
              <w:rPr>
                <w:rFonts w:asciiTheme="minorHAnsi" w:hAnsiTheme="minorHAnsi" w:cstheme="minorHAnsi"/>
                <w:color w:val="262626"/>
              </w:rPr>
            </w:pPr>
            <w:r w:rsidRPr="00205204">
              <w:rPr>
                <w:rFonts w:asciiTheme="minorHAnsi" w:hAnsiTheme="minorHAnsi" w:cstheme="minorHAnsi"/>
                <w:color w:val="262626"/>
              </w:rPr>
              <w:t>The Cabinet has endorsed the First Set of Administrative Regulations for the Civil Service Bill</w:t>
            </w:r>
          </w:p>
        </w:tc>
        <w:tc>
          <w:tcPr>
            <w:tcW w:w="1460" w:type="pct"/>
            <w:shd w:val="clear" w:color="auto" w:fill="auto"/>
            <w:tcMar>
              <w:top w:w="0" w:type="dxa"/>
              <w:left w:w="108" w:type="dxa"/>
              <w:bottom w:w="0" w:type="dxa"/>
              <w:right w:w="108" w:type="dxa"/>
            </w:tcMar>
            <w:hideMark/>
          </w:tcPr>
          <w:p w14:paraId="3C2A403F"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The FGS Cabinet decision on the endorsement of the following </w:t>
            </w:r>
            <w:r w:rsidRPr="00205204">
              <w:rPr>
                <w:rFonts w:asciiTheme="minorHAnsi" w:hAnsiTheme="minorHAnsi" w:cstheme="minorHAnsi"/>
                <w:color w:val="262626"/>
              </w:rPr>
              <w:t>Administrative Regulations for the Civil Service</w:t>
            </w:r>
            <w:r w:rsidRPr="00205204">
              <w:rPr>
                <w:rFonts w:asciiTheme="minorHAnsi" w:hAnsiTheme="minorHAnsi" w:cstheme="minorHAnsi"/>
              </w:rPr>
              <w:t>: #1: Duties and Obligations of the Civil Servant; #2: Civil Service Administration; #3: Civil Service Registry and Human Resources Management Information System; #4: Job Description; #5: HR Planning; #6: Recruitment; #7: Employee Mobility and Management; #8: Code of conduct for civil servants.</w:t>
            </w:r>
          </w:p>
        </w:tc>
        <w:tc>
          <w:tcPr>
            <w:tcW w:w="591" w:type="pct"/>
            <w:shd w:val="clear" w:color="auto" w:fill="auto"/>
            <w:tcMar>
              <w:top w:w="0" w:type="dxa"/>
              <w:left w:w="108" w:type="dxa"/>
              <w:bottom w:w="0" w:type="dxa"/>
              <w:right w:w="108" w:type="dxa"/>
            </w:tcMar>
            <w:hideMark/>
          </w:tcPr>
          <w:p w14:paraId="3BEF7812"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hideMark/>
          </w:tcPr>
          <w:p w14:paraId="6CDE1371"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MoLSA</w:t>
            </w:r>
          </w:p>
        </w:tc>
        <w:tc>
          <w:tcPr>
            <w:tcW w:w="487" w:type="pct"/>
            <w:shd w:val="clear" w:color="auto" w:fill="auto"/>
            <w:tcMar>
              <w:top w:w="0" w:type="dxa"/>
              <w:left w:w="108" w:type="dxa"/>
              <w:bottom w:w="0" w:type="dxa"/>
              <w:right w:w="108" w:type="dxa"/>
            </w:tcMar>
            <w:hideMark/>
          </w:tcPr>
          <w:p w14:paraId="1E9CCC24"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PIU</w:t>
            </w:r>
          </w:p>
        </w:tc>
        <w:tc>
          <w:tcPr>
            <w:tcW w:w="657" w:type="pct"/>
            <w:shd w:val="clear" w:color="auto" w:fill="auto"/>
            <w:tcMar>
              <w:top w:w="0" w:type="dxa"/>
              <w:left w:w="108" w:type="dxa"/>
              <w:bottom w:w="0" w:type="dxa"/>
              <w:right w:w="108" w:type="dxa"/>
            </w:tcMar>
          </w:tcPr>
          <w:p w14:paraId="00503EC0"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PIU to obtain documentation</w:t>
            </w:r>
          </w:p>
          <w:p w14:paraId="2183EBAC" w14:textId="77777777" w:rsidR="00B16F23" w:rsidRPr="00205204" w:rsidRDefault="00B16F23" w:rsidP="00C608D6">
            <w:pPr>
              <w:rPr>
                <w:rFonts w:asciiTheme="minorHAnsi" w:hAnsiTheme="minorHAnsi" w:cstheme="minorHAnsi"/>
              </w:rPr>
            </w:pPr>
          </w:p>
        </w:tc>
      </w:tr>
      <w:tr w:rsidR="00B16F23" w14:paraId="7810ED5A" w14:textId="77777777" w:rsidTr="00C608D6">
        <w:trPr>
          <w:trHeight w:val="20"/>
        </w:trPr>
        <w:tc>
          <w:tcPr>
            <w:tcW w:w="971" w:type="pct"/>
            <w:shd w:val="clear" w:color="auto" w:fill="auto"/>
            <w:tcMar>
              <w:top w:w="0" w:type="dxa"/>
              <w:left w:w="108" w:type="dxa"/>
              <w:bottom w:w="0" w:type="dxa"/>
              <w:right w:w="108" w:type="dxa"/>
            </w:tcMar>
            <w:hideMark/>
          </w:tcPr>
          <w:p w14:paraId="3A61DC56" w14:textId="77777777" w:rsidR="00B16F23" w:rsidRPr="00205204" w:rsidRDefault="00B16F23" w:rsidP="00C608D6">
            <w:pPr>
              <w:rPr>
                <w:rFonts w:asciiTheme="minorHAnsi" w:hAnsiTheme="minorHAnsi" w:cstheme="minorHAnsi"/>
                <w:color w:val="262626"/>
              </w:rPr>
            </w:pPr>
            <w:r w:rsidRPr="00205204">
              <w:rPr>
                <w:rFonts w:asciiTheme="minorHAnsi" w:hAnsiTheme="minorHAnsi" w:cstheme="minorHAnsi"/>
                <w:color w:val="262626"/>
              </w:rPr>
              <w:t>DLR 8.2.1</w:t>
            </w:r>
          </w:p>
          <w:p w14:paraId="574EA9FB" w14:textId="77777777" w:rsidR="00B16F23" w:rsidRPr="00205204" w:rsidRDefault="00B16F23" w:rsidP="00C608D6">
            <w:pPr>
              <w:rPr>
                <w:rFonts w:asciiTheme="minorHAnsi" w:hAnsiTheme="minorHAnsi" w:cstheme="minorHAnsi"/>
                <w:color w:val="262626"/>
              </w:rPr>
            </w:pPr>
            <w:r w:rsidRPr="00205204">
              <w:rPr>
                <w:rFonts w:asciiTheme="minorHAnsi" w:hAnsiTheme="minorHAnsi" w:cstheme="minorHAnsi"/>
                <w:color w:val="262626"/>
              </w:rPr>
              <w:t>The Federal Parliament has enacted a civil service law</w:t>
            </w:r>
          </w:p>
        </w:tc>
        <w:tc>
          <w:tcPr>
            <w:tcW w:w="1460" w:type="pct"/>
            <w:shd w:val="clear" w:color="auto" w:fill="auto"/>
            <w:tcMar>
              <w:top w:w="0" w:type="dxa"/>
              <w:left w:w="108" w:type="dxa"/>
              <w:bottom w:w="0" w:type="dxa"/>
              <w:right w:w="108" w:type="dxa"/>
            </w:tcMar>
            <w:hideMark/>
          </w:tcPr>
          <w:p w14:paraId="7FDBDABF"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The Civil Service Law approved by the Federal Parliament, which covers, inter alia: the establishment of common principles, consistent with the Constitution and principles of good governance and depoliticized; meritocratic HRM practices, terms, and conditions that define the work relationship between the FGS and its civil servants; and institutional arrangements designed while ensuring fiscal sustainability of the wage bill.   </w:t>
            </w:r>
          </w:p>
        </w:tc>
        <w:tc>
          <w:tcPr>
            <w:tcW w:w="591" w:type="pct"/>
            <w:shd w:val="clear" w:color="auto" w:fill="auto"/>
            <w:tcMar>
              <w:top w:w="0" w:type="dxa"/>
              <w:left w:w="108" w:type="dxa"/>
              <w:bottom w:w="0" w:type="dxa"/>
              <w:right w:w="108" w:type="dxa"/>
            </w:tcMar>
            <w:hideMark/>
          </w:tcPr>
          <w:p w14:paraId="3063C60D"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hideMark/>
          </w:tcPr>
          <w:p w14:paraId="7EB1B384"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MoLSA</w:t>
            </w:r>
          </w:p>
        </w:tc>
        <w:tc>
          <w:tcPr>
            <w:tcW w:w="487" w:type="pct"/>
            <w:shd w:val="clear" w:color="auto" w:fill="auto"/>
            <w:tcMar>
              <w:top w:w="0" w:type="dxa"/>
              <w:left w:w="108" w:type="dxa"/>
              <w:bottom w:w="0" w:type="dxa"/>
              <w:right w:w="108" w:type="dxa"/>
            </w:tcMar>
            <w:hideMark/>
          </w:tcPr>
          <w:p w14:paraId="0240C425"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PIU</w:t>
            </w:r>
          </w:p>
        </w:tc>
        <w:tc>
          <w:tcPr>
            <w:tcW w:w="657" w:type="pct"/>
            <w:shd w:val="clear" w:color="auto" w:fill="auto"/>
            <w:tcMar>
              <w:top w:w="0" w:type="dxa"/>
              <w:left w:w="108" w:type="dxa"/>
              <w:bottom w:w="0" w:type="dxa"/>
              <w:right w:w="108" w:type="dxa"/>
            </w:tcMar>
          </w:tcPr>
          <w:p w14:paraId="09B17638"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PIU to obtain documentation and make assessment</w:t>
            </w:r>
          </w:p>
        </w:tc>
      </w:tr>
      <w:tr w:rsidR="00B16F23" w14:paraId="7A313AB3" w14:textId="77777777" w:rsidTr="00C608D6">
        <w:trPr>
          <w:trHeight w:val="20"/>
        </w:trPr>
        <w:tc>
          <w:tcPr>
            <w:tcW w:w="971" w:type="pct"/>
            <w:shd w:val="clear" w:color="auto" w:fill="auto"/>
            <w:tcMar>
              <w:top w:w="0" w:type="dxa"/>
              <w:left w:w="108" w:type="dxa"/>
              <w:bottom w:w="0" w:type="dxa"/>
              <w:right w:w="108" w:type="dxa"/>
            </w:tcMar>
          </w:tcPr>
          <w:p w14:paraId="3C6E9092" w14:textId="77777777" w:rsidR="00B16F23" w:rsidRPr="00205204" w:rsidRDefault="00B16F23" w:rsidP="00C608D6">
            <w:pPr>
              <w:rPr>
                <w:rFonts w:asciiTheme="minorHAnsi" w:hAnsiTheme="minorHAnsi" w:cstheme="minorHAnsi"/>
                <w:color w:val="262626"/>
              </w:rPr>
            </w:pPr>
            <w:r w:rsidRPr="00205204">
              <w:rPr>
                <w:rFonts w:asciiTheme="minorHAnsi" w:hAnsiTheme="minorHAnsi" w:cstheme="minorHAnsi"/>
                <w:color w:val="262626"/>
              </w:rPr>
              <w:t xml:space="preserve">DLR 8.2.2 </w:t>
            </w:r>
          </w:p>
          <w:p w14:paraId="78ACF78B" w14:textId="77777777" w:rsidR="00B16F23" w:rsidRPr="00205204" w:rsidRDefault="00B16F23" w:rsidP="00C608D6">
            <w:pPr>
              <w:rPr>
                <w:rFonts w:asciiTheme="minorHAnsi" w:hAnsiTheme="minorHAnsi" w:cstheme="minorHAnsi"/>
                <w:color w:val="262626"/>
              </w:rPr>
            </w:pPr>
            <w:r w:rsidRPr="00205204">
              <w:rPr>
                <w:rFonts w:asciiTheme="minorHAnsi" w:hAnsiTheme="minorHAnsi" w:cstheme="minorHAnsi"/>
                <w:color w:val="262626"/>
              </w:rPr>
              <w:t>The Cabinet has endorsed the Second Set of Administrative Regulations for the Civil Service Bill</w:t>
            </w:r>
          </w:p>
        </w:tc>
        <w:tc>
          <w:tcPr>
            <w:tcW w:w="1460" w:type="pct"/>
            <w:shd w:val="clear" w:color="auto" w:fill="auto"/>
            <w:tcMar>
              <w:top w:w="0" w:type="dxa"/>
              <w:left w:w="108" w:type="dxa"/>
              <w:bottom w:w="0" w:type="dxa"/>
              <w:right w:w="108" w:type="dxa"/>
            </w:tcMar>
          </w:tcPr>
          <w:p w14:paraId="1EA18CC7"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The FGS Cabinet decision on the endorsement of the following </w:t>
            </w:r>
            <w:r w:rsidRPr="00205204">
              <w:rPr>
                <w:rFonts w:asciiTheme="minorHAnsi" w:hAnsiTheme="minorHAnsi" w:cstheme="minorHAnsi"/>
                <w:color w:val="262626"/>
              </w:rPr>
              <w:t>Administrative Regulations for the Civil Service</w:t>
            </w:r>
            <w:r w:rsidRPr="00205204">
              <w:rPr>
                <w:rFonts w:asciiTheme="minorHAnsi" w:hAnsiTheme="minorHAnsi" w:cstheme="minorHAnsi"/>
              </w:rPr>
              <w:t xml:space="preserve">: #9: Leave and Travel; #10: Performance Evaluation of civil servants and senior managers; #11: Promotion; #12: Discipline; #13: Grievances and Appeals Management; #14: Capacity development </w:t>
            </w:r>
            <w:r w:rsidRPr="00205204">
              <w:rPr>
                <w:rFonts w:asciiTheme="minorHAnsi" w:hAnsiTheme="minorHAnsi" w:cstheme="minorHAnsi"/>
              </w:rPr>
              <w:lastRenderedPageBreak/>
              <w:t>and Training of the civil service employee; #15: Separation from Civil Service.</w:t>
            </w:r>
          </w:p>
        </w:tc>
        <w:tc>
          <w:tcPr>
            <w:tcW w:w="591" w:type="pct"/>
            <w:shd w:val="clear" w:color="auto" w:fill="auto"/>
            <w:tcMar>
              <w:top w:w="0" w:type="dxa"/>
              <w:left w:w="108" w:type="dxa"/>
              <w:bottom w:w="0" w:type="dxa"/>
              <w:right w:w="108" w:type="dxa"/>
            </w:tcMar>
          </w:tcPr>
          <w:p w14:paraId="36A27CBE"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lastRenderedPageBreak/>
              <w:t>No</w:t>
            </w:r>
          </w:p>
        </w:tc>
        <w:tc>
          <w:tcPr>
            <w:tcW w:w="834" w:type="pct"/>
            <w:shd w:val="clear" w:color="auto" w:fill="auto"/>
            <w:tcMar>
              <w:top w:w="0" w:type="dxa"/>
              <w:left w:w="108" w:type="dxa"/>
              <w:bottom w:w="0" w:type="dxa"/>
              <w:right w:w="108" w:type="dxa"/>
            </w:tcMar>
          </w:tcPr>
          <w:p w14:paraId="129865AF"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MoLSA</w:t>
            </w:r>
          </w:p>
        </w:tc>
        <w:tc>
          <w:tcPr>
            <w:tcW w:w="487" w:type="pct"/>
            <w:shd w:val="clear" w:color="auto" w:fill="auto"/>
            <w:tcMar>
              <w:top w:w="0" w:type="dxa"/>
              <w:left w:w="108" w:type="dxa"/>
              <w:bottom w:w="0" w:type="dxa"/>
              <w:right w:w="108" w:type="dxa"/>
            </w:tcMar>
          </w:tcPr>
          <w:p w14:paraId="7B81AA2F"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PIU</w:t>
            </w:r>
          </w:p>
        </w:tc>
        <w:tc>
          <w:tcPr>
            <w:tcW w:w="657" w:type="pct"/>
            <w:shd w:val="clear" w:color="auto" w:fill="auto"/>
            <w:tcMar>
              <w:top w:w="0" w:type="dxa"/>
              <w:left w:w="108" w:type="dxa"/>
              <w:bottom w:w="0" w:type="dxa"/>
              <w:right w:w="108" w:type="dxa"/>
            </w:tcMar>
          </w:tcPr>
          <w:p w14:paraId="386AD572"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PIU to obtain documentation</w:t>
            </w:r>
          </w:p>
          <w:p w14:paraId="758B405E" w14:textId="77777777" w:rsidR="00B16F23" w:rsidRPr="00205204" w:rsidRDefault="00B16F23" w:rsidP="00C608D6">
            <w:pPr>
              <w:rPr>
                <w:rFonts w:asciiTheme="minorHAnsi" w:hAnsiTheme="minorHAnsi" w:cstheme="minorHAnsi"/>
              </w:rPr>
            </w:pPr>
          </w:p>
        </w:tc>
      </w:tr>
      <w:tr w:rsidR="00B16F23" w14:paraId="53C9703C" w14:textId="77777777" w:rsidTr="00C608D6">
        <w:trPr>
          <w:trHeight w:val="20"/>
        </w:trPr>
        <w:tc>
          <w:tcPr>
            <w:tcW w:w="971" w:type="pct"/>
            <w:shd w:val="clear" w:color="auto" w:fill="auto"/>
            <w:tcMar>
              <w:top w:w="0" w:type="dxa"/>
              <w:left w:w="108" w:type="dxa"/>
              <w:bottom w:w="0" w:type="dxa"/>
              <w:right w:w="108" w:type="dxa"/>
            </w:tcMar>
            <w:hideMark/>
          </w:tcPr>
          <w:p w14:paraId="4DA5DC3D" w14:textId="77777777" w:rsidR="00B16F23" w:rsidRPr="00205204" w:rsidRDefault="00B16F23" w:rsidP="00C608D6">
            <w:pPr>
              <w:rPr>
                <w:rFonts w:asciiTheme="minorHAnsi" w:hAnsiTheme="minorHAnsi" w:cstheme="minorHAnsi"/>
                <w:color w:val="262626"/>
              </w:rPr>
            </w:pPr>
            <w:r w:rsidRPr="00205204">
              <w:rPr>
                <w:rFonts w:asciiTheme="minorHAnsi" w:hAnsiTheme="minorHAnsi" w:cstheme="minorHAnsi"/>
                <w:color w:val="262626"/>
              </w:rPr>
              <w:lastRenderedPageBreak/>
              <w:t xml:space="preserve">DLR 8.3.1 </w:t>
            </w:r>
          </w:p>
          <w:p w14:paraId="6EFEE9B2" w14:textId="77777777" w:rsidR="00B16F23" w:rsidRPr="00205204" w:rsidRDefault="00B16F23" w:rsidP="00C608D6">
            <w:pPr>
              <w:rPr>
                <w:rFonts w:asciiTheme="minorHAnsi" w:hAnsiTheme="minorHAnsi" w:cstheme="minorHAnsi"/>
                <w:color w:val="262626"/>
              </w:rPr>
            </w:pPr>
            <w:r w:rsidRPr="00205204">
              <w:rPr>
                <w:rFonts w:asciiTheme="minorHAnsi" w:hAnsiTheme="minorHAnsi" w:cstheme="minorHAnsi"/>
                <w:color w:val="262626"/>
              </w:rPr>
              <w:t>The MoLSA has issued two consecutive reports covering all Non-Security MDAs on status and applicability of the new Civil Service Law and its Administrative Regulations</w:t>
            </w:r>
          </w:p>
        </w:tc>
        <w:tc>
          <w:tcPr>
            <w:tcW w:w="1460" w:type="pct"/>
            <w:shd w:val="clear" w:color="auto" w:fill="auto"/>
            <w:tcMar>
              <w:top w:w="0" w:type="dxa"/>
              <w:left w:w="108" w:type="dxa"/>
              <w:bottom w:w="0" w:type="dxa"/>
              <w:right w:w="108" w:type="dxa"/>
            </w:tcMar>
            <w:hideMark/>
          </w:tcPr>
          <w:p w14:paraId="44585430"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Two </w:t>
            </w:r>
            <w:r>
              <w:rPr>
                <w:rFonts w:asciiTheme="minorHAnsi" w:hAnsiTheme="minorHAnsi" w:cstheme="minorHAnsi"/>
              </w:rPr>
              <w:t xml:space="preserve">quarterly </w:t>
            </w:r>
            <w:r w:rsidRPr="00205204">
              <w:rPr>
                <w:rFonts w:asciiTheme="minorHAnsi" w:hAnsiTheme="minorHAnsi" w:cstheme="minorHAnsi"/>
              </w:rPr>
              <w:t>reports on the implementation of the Civil Service Law and its administrative regulations that will include: (a) information on sensitization of civil servants on HRM regulations and procedures; (b) Number and percentage of civil service recruitment and selections accomplished through competitive procedures; (c) Average number of qualified candidates per advertised vacancy within the civil service, by job family; (d) Average annual retention rates for recent recruits (within the last three years) within the civil service, by job family; (e) Quarterly turnover rates of civil servants; (f) Percentage of civil servants receiving a formal annual performance appraisal; (g) Percentage of civil servants who exhibit a pattern of repeated, unexcused absences who are subject to formal disciplinary actions; (h) Percentage of pension-age civil servants yet to be retired.</w:t>
            </w:r>
          </w:p>
        </w:tc>
        <w:tc>
          <w:tcPr>
            <w:tcW w:w="591" w:type="pct"/>
            <w:shd w:val="clear" w:color="auto" w:fill="auto"/>
            <w:tcMar>
              <w:top w:w="0" w:type="dxa"/>
              <w:left w:w="108" w:type="dxa"/>
              <w:bottom w:w="0" w:type="dxa"/>
              <w:right w:w="108" w:type="dxa"/>
            </w:tcMar>
            <w:hideMark/>
          </w:tcPr>
          <w:p w14:paraId="0BA29F77"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hideMark/>
          </w:tcPr>
          <w:p w14:paraId="78CC4C87"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MoLSA</w:t>
            </w:r>
          </w:p>
        </w:tc>
        <w:tc>
          <w:tcPr>
            <w:tcW w:w="487" w:type="pct"/>
            <w:shd w:val="clear" w:color="auto" w:fill="auto"/>
            <w:tcMar>
              <w:top w:w="0" w:type="dxa"/>
              <w:left w:w="108" w:type="dxa"/>
              <w:bottom w:w="0" w:type="dxa"/>
              <w:right w:w="108" w:type="dxa"/>
            </w:tcMar>
            <w:hideMark/>
          </w:tcPr>
          <w:p w14:paraId="50A0CF01"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w:t>
            </w:r>
          </w:p>
        </w:tc>
        <w:tc>
          <w:tcPr>
            <w:tcW w:w="657" w:type="pct"/>
            <w:shd w:val="clear" w:color="auto" w:fill="auto"/>
            <w:tcMar>
              <w:top w:w="0" w:type="dxa"/>
              <w:left w:w="108" w:type="dxa"/>
              <w:bottom w:w="0" w:type="dxa"/>
              <w:right w:w="108" w:type="dxa"/>
            </w:tcMar>
            <w:hideMark/>
          </w:tcPr>
          <w:p w14:paraId="44322BDC"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 to obtain documentation and undertake assessment</w:t>
            </w:r>
          </w:p>
        </w:tc>
      </w:tr>
      <w:tr w:rsidR="00B16F23" w14:paraId="4DEC744A" w14:textId="77777777" w:rsidTr="00C608D6">
        <w:trPr>
          <w:trHeight w:val="20"/>
        </w:trPr>
        <w:tc>
          <w:tcPr>
            <w:tcW w:w="971" w:type="pct"/>
            <w:shd w:val="clear" w:color="auto" w:fill="auto"/>
            <w:tcMar>
              <w:top w:w="0" w:type="dxa"/>
              <w:left w:w="108" w:type="dxa"/>
              <w:bottom w:w="0" w:type="dxa"/>
              <w:right w:w="108" w:type="dxa"/>
            </w:tcMar>
          </w:tcPr>
          <w:p w14:paraId="71E39B6A" w14:textId="77777777" w:rsidR="00B16F23" w:rsidRPr="00205204" w:rsidRDefault="00B16F23" w:rsidP="00C608D6">
            <w:pPr>
              <w:rPr>
                <w:rFonts w:asciiTheme="minorHAnsi" w:hAnsiTheme="minorHAnsi" w:cstheme="minorHAnsi"/>
                <w:color w:val="262626"/>
              </w:rPr>
            </w:pPr>
            <w:r w:rsidRPr="00205204">
              <w:rPr>
                <w:rFonts w:asciiTheme="minorHAnsi" w:hAnsiTheme="minorHAnsi" w:cstheme="minorHAnsi"/>
                <w:color w:val="262626"/>
              </w:rPr>
              <w:t>DLR 8.3.2.</w:t>
            </w:r>
          </w:p>
          <w:p w14:paraId="43CE27BF" w14:textId="77777777" w:rsidR="00B16F23" w:rsidRPr="00205204" w:rsidRDefault="00B16F23" w:rsidP="00C608D6">
            <w:pPr>
              <w:rPr>
                <w:rFonts w:asciiTheme="minorHAnsi" w:hAnsiTheme="minorHAnsi" w:cstheme="minorHAnsi"/>
                <w:color w:val="262626"/>
              </w:rPr>
            </w:pPr>
            <w:r w:rsidRPr="00205204">
              <w:rPr>
                <w:rFonts w:asciiTheme="minorHAnsi" w:hAnsiTheme="minorHAnsi" w:cstheme="minorHAnsi"/>
                <w:color w:val="262626"/>
              </w:rPr>
              <w:t>The Cabinet has endorsed the Organizational Ordinance</w:t>
            </w:r>
          </w:p>
        </w:tc>
        <w:tc>
          <w:tcPr>
            <w:tcW w:w="1460" w:type="pct"/>
            <w:shd w:val="clear" w:color="auto" w:fill="auto"/>
            <w:tcMar>
              <w:top w:w="0" w:type="dxa"/>
              <w:left w:w="108" w:type="dxa"/>
              <w:bottom w:w="0" w:type="dxa"/>
              <w:right w:w="108" w:type="dxa"/>
            </w:tcMar>
          </w:tcPr>
          <w:p w14:paraId="56D79623"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The FGS Cabinet decision on the Organizational Ordinance, which addresses, among others: clarity on mandates, vision, mission, functions, accountabilities, structures, staff complement, and establishment ceilings for all MDAs.</w:t>
            </w:r>
          </w:p>
        </w:tc>
        <w:tc>
          <w:tcPr>
            <w:tcW w:w="591" w:type="pct"/>
            <w:shd w:val="clear" w:color="auto" w:fill="auto"/>
            <w:tcMar>
              <w:top w:w="0" w:type="dxa"/>
              <w:left w:w="108" w:type="dxa"/>
              <w:bottom w:w="0" w:type="dxa"/>
              <w:right w:w="108" w:type="dxa"/>
            </w:tcMar>
          </w:tcPr>
          <w:p w14:paraId="27A7AF0F"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tcPr>
          <w:p w14:paraId="66F38CF7"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MoLSA</w:t>
            </w:r>
          </w:p>
        </w:tc>
        <w:tc>
          <w:tcPr>
            <w:tcW w:w="487" w:type="pct"/>
            <w:shd w:val="clear" w:color="auto" w:fill="auto"/>
            <w:tcMar>
              <w:top w:w="0" w:type="dxa"/>
              <w:left w:w="108" w:type="dxa"/>
              <w:bottom w:w="0" w:type="dxa"/>
              <w:right w:w="108" w:type="dxa"/>
            </w:tcMar>
          </w:tcPr>
          <w:p w14:paraId="2873DA9D"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w:t>
            </w:r>
          </w:p>
        </w:tc>
        <w:tc>
          <w:tcPr>
            <w:tcW w:w="657" w:type="pct"/>
            <w:shd w:val="clear" w:color="auto" w:fill="auto"/>
            <w:tcMar>
              <w:top w:w="0" w:type="dxa"/>
              <w:left w:w="108" w:type="dxa"/>
              <w:bottom w:w="0" w:type="dxa"/>
              <w:right w:w="108" w:type="dxa"/>
            </w:tcMar>
          </w:tcPr>
          <w:p w14:paraId="7F968EAD"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 to obtain documentation and undertake assessment</w:t>
            </w:r>
          </w:p>
        </w:tc>
      </w:tr>
      <w:tr w:rsidR="00B16F23" w14:paraId="4CD14E5C" w14:textId="77777777" w:rsidTr="00C608D6">
        <w:trPr>
          <w:trHeight w:val="20"/>
        </w:trPr>
        <w:tc>
          <w:tcPr>
            <w:tcW w:w="5000" w:type="pct"/>
            <w:gridSpan w:val="6"/>
            <w:shd w:val="clear" w:color="auto" w:fill="auto"/>
            <w:tcMar>
              <w:top w:w="0" w:type="dxa"/>
              <w:left w:w="108" w:type="dxa"/>
              <w:bottom w:w="0" w:type="dxa"/>
              <w:right w:w="108" w:type="dxa"/>
            </w:tcMar>
            <w:hideMark/>
          </w:tcPr>
          <w:p w14:paraId="03361507" w14:textId="77777777" w:rsidR="00B16F23" w:rsidRPr="00205204" w:rsidRDefault="00B16F23" w:rsidP="00C608D6">
            <w:pPr>
              <w:jc w:val="center"/>
              <w:rPr>
                <w:rFonts w:asciiTheme="minorHAnsi" w:hAnsiTheme="minorHAnsi" w:cstheme="minorHAnsi"/>
              </w:rPr>
            </w:pPr>
            <w:r w:rsidRPr="00205204">
              <w:rPr>
                <w:rFonts w:asciiTheme="minorHAnsi" w:hAnsiTheme="minorHAnsi" w:cstheme="minorHAnsi"/>
                <w:b/>
                <w:bCs/>
                <w:color w:val="000000"/>
              </w:rPr>
              <w:t>DLI 9: Monitoring staff attendance with biometrics</w:t>
            </w:r>
          </w:p>
        </w:tc>
      </w:tr>
      <w:tr w:rsidR="00B16F23" w14:paraId="23B03508" w14:textId="77777777" w:rsidTr="00C608D6">
        <w:trPr>
          <w:trHeight w:val="20"/>
        </w:trPr>
        <w:tc>
          <w:tcPr>
            <w:tcW w:w="971" w:type="pct"/>
            <w:shd w:val="clear" w:color="auto" w:fill="auto"/>
            <w:tcMar>
              <w:top w:w="0" w:type="dxa"/>
              <w:left w:w="108" w:type="dxa"/>
              <w:bottom w:w="0" w:type="dxa"/>
              <w:right w:w="108" w:type="dxa"/>
            </w:tcMar>
            <w:hideMark/>
          </w:tcPr>
          <w:p w14:paraId="14B80EB2" w14:textId="77777777" w:rsidR="00B16F23" w:rsidRPr="00205204" w:rsidRDefault="00B16F23" w:rsidP="00C608D6">
            <w:pPr>
              <w:ind w:left="-18"/>
              <w:rPr>
                <w:rFonts w:asciiTheme="minorHAnsi" w:hAnsiTheme="minorHAnsi" w:cstheme="minorHAnsi"/>
              </w:rPr>
            </w:pPr>
            <w:r w:rsidRPr="00205204">
              <w:rPr>
                <w:rFonts w:asciiTheme="minorHAnsi" w:hAnsiTheme="minorHAnsi" w:cstheme="minorHAnsi"/>
              </w:rPr>
              <w:lastRenderedPageBreak/>
              <w:t>DLR 9.1</w:t>
            </w:r>
          </w:p>
          <w:p w14:paraId="74188306"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One Non-Security Ministry has implemented biometric attendance monitoring systems</w:t>
            </w:r>
          </w:p>
        </w:tc>
        <w:tc>
          <w:tcPr>
            <w:tcW w:w="1460" w:type="pct"/>
            <w:shd w:val="clear" w:color="auto" w:fill="auto"/>
            <w:tcMar>
              <w:top w:w="0" w:type="dxa"/>
              <w:left w:w="108" w:type="dxa"/>
              <w:bottom w:w="0" w:type="dxa"/>
              <w:right w:w="108" w:type="dxa"/>
            </w:tcMar>
            <w:hideMark/>
          </w:tcPr>
          <w:p w14:paraId="6B677E81"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System reports indicating that at least 90% of staff in one non-security FGS ministry record their attendance using the biometric system at least 15 working days of the month for each staff.</w:t>
            </w:r>
          </w:p>
        </w:tc>
        <w:tc>
          <w:tcPr>
            <w:tcW w:w="591" w:type="pct"/>
            <w:shd w:val="clear" w:color="auto" w:fill="auto"/>
            <w:tcMar>
              <w:top w:w="0" w:type="dxa"/>
              <w:left w:w="108" w:type="dxa"/>
              <w:bottom w:w="0" w:type="dxa"/>
              <w:right w:w="108" w:type="dxa"/>
            </w:tcMar>
            <w:hideMark/>
          </w:tcPr>
          <w:p w14:paraId="7C6D087B"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hideMark/>
          </w:tcPr>
          <w:p w14:paraId="7DEB4CFE"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MoF FGS, NCSC, MoLSA</w:t>
            </w:r>
          </w:p>
        </w:tc>
        <w:tc>
          <w:tcPr>
            <w:tcW w:w="487" w:type="pct"/>
            <w:shd w:val="clear" w:color="auto" w:fill="auto"/>
            <w:tcMar>
              <w:top w:w="0" w:type="dxa"/>
              <w:left w:w="108" w:type="dxa"/>
              <w:bottom w:w="0" w:type="dxa"/>
              <w:right w:w="108" w:type="dxa"/>
            </w:tcMar>
            <w:hideMark/>
          </w:tcPr>
          <w:p w14:paraId="46F5A548"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w:t>
            </w:r>
          </w:p>
        </w:tc>
        <w:tc>
          <w:tcPr>
            <w:tcW w:w="657" w:type="pct"/>
            <w:shd w:val="clear" w:color="auto" w:fill="auto"/>
            <w:tcMar>
              <w:top w:w="0" w:type="dxa"/>
              <w:left w:w="108" w:type="dxa"/>
              <w:bottom w:w="0" w:type="dxa"/>
              <w:right w:w="108" w:type="dxa"/>
            </w:tcMar>
            <w:hideMark/>
          </w:tcPr>
          <w:p w14:paraId="58D2A27B"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 to obtain documentation and undertake assessment</w:t>
            </w:r>
          </w:p>
        </w:tc>
      </w:tr>
      <w:tr w:rsidR="00B16F23" w14:paraId="392942C3" w14:textId="77777777" w:rsidTr="00C608D6">
        <w:trPr>
          <w:trHeight w:val="20"/>
        </w:trPr>
        <w:tc>
          <w:tcPr>
            <w:tcW w:w="971" w:type="pct"/>
            <w:shd w:val="clear" w:color="auto" w:fill="auto"/>
            <w:tcMar>
              <w:top w:w="0" w:type="dxa"/>
              <w:left w:w="108" w:type="dxa"/>
              <w:bottom w:w="0" w:type="dxa"/>
              <w:right w:w="108" w:type="dxa"/>
            </w:tcMar>
            <w:hideMark/>
          </w:tcPr>
          <w:p w14:paraId="39EF4069"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9.2.1</w:t>
            </w:r>
          </w:p>
          <w:p w14:paraId="2A86C115" w14:textId="77777777" w:rsidR="00B16F23" w:rsidRPr="00205204" w:rsidRDefault="00B16F23" w:rsidP="00C608D6">
            <w:pPr>
              <w:rPr>
                <w:rFonts w:asciiTheme="minorHAnsi" w:hAnsiTheme="minorHAnsi" w:cstheme="minorHAnsi"/>
                <w:lang w:eastAsia="ja-JP"/>
              </w:rPr>
            </w:pPr>
            <w:r w:rsidRPr="00205204">
              <w:rPr>
                <w:rFonts w:asciiTheme="minorHAnsi" w:hAnsiTheme="minorHAnsi" w:cstheme="minorHAnsi"/>
              </w:rPr>
              <w:t>Fifteen Non-Security Ministries have implemented biometric attendance monitoring systems</w:t>
            </w:r>
          </w:p>
        </w:tc>
        <w:tc>
          <w:tcPr>
            <w:tcW w:w="1460" w:type="pct"/>
            <w:shd w:val="clear" w:color="auto" w:fill="auto"/>
            <w:tcMar>
              <w:top w:w="0" w:type="dxa"/>
              <w:left w:w="108" w:type="dxa"/>
              <w:bottom w:w="0" w:type="dxa"/>
              <w:right w:w="108" w:type="dxa"/>
            </w:tcMar>
            <w:hideMark/>
          </w:tcPr>
          <w:p w14:paraId="0EA9FA4E"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System reports indicating that at least 90% of staff in 15 non-security FGS ministries record their attendance using the biometric system at least 15 working days of the month for each staff. The biometric attendance monitoring results are used in payroll, performance, and disciplinary systems.  </w:t>
            </w:r>
          </w:p>
        </w:tc>
        <w:tc>
          <w:tcPr>
            <w:tcW w:w="591" w:type="pct"/>
            <w:shd w:val="clear" w:color="auto" w:fill="auto"/>
            <w:tcMar>
              <w:top w:w="0" w:type="dxa"/>
              <w:left w:w="108" w:type="dxa"/>
              <w:bottom w:w="0" w:type="dxa"/>
              <w:right w:w="108" w:type="dxa"/>
            </w:tcMar>
            <w:hideMark/>
          </w:tcPr>
          <w:p w14:paraId="29F4343D"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hideMark/>
          </w:tcPr>
          <w:p w14:paraId="1884E0F4"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MoF FGS, NCSC, MoLSA </w:t>
            </w:r>
          </w:p>
        </w:tc>
        <w:tc>
          <w:tcPr>
            <w:tcW w:w="487" w:type="pct"/>
            <w:shd w:val="clear" w:color="auto" w:fill="auto"/>
            <w:tcMar>
              <w:top w:w="0" w:type="dxa"/>
              <w:left w:w="108" w:type="dxa"/>
              <w:bottom w:w="0" w:type="dxa"/>
              <w:right w:w="108" w:type="dxa"/>
            </w:tcMar>
            <w:hideMark/>
          </w:tcPr>
          <w:p w14:paraId="3CB6AD7C"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w:t>
            </w:r>
          </w:p>
        </w:tc>
        <w:tc>
          <w:tcPr>
            <w:tcW w:w="657" w:type="pct"/>
            <w:shd w:val="clear" w:color="auto" w:fill="auto"/>
            <w:tcMar>
              <w:top w:w="0" w:type="dxa"/>
              <w:left w:w="108" w:type="dxa"/>
              <w:bottom w:w="0" w:type="dxa"/>
              <w:right w:w="108" w:type="dxa"/>
            </w:tcMar>
            <w:hideMark/>
          </w:tcPr>
          <w:p w14:paraId="472A3468"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 to obtain documentation and undertake assessment</w:t>
            </w:r>
          </w:p>
        </w:tc>
      </w:tr>
      <w:tr w:rsidR="00B16F23" w14:paraId="29378AE9" w14:textId="77777777" w:rsidTr="00C608D6">
        <w:trPr>
          <w:trHeight w:val="20"/>
        </w:trPr>
        <w:tc>
          <w:tcPr>
            <w:tcW w:w="971" w:type="pct"/>
            <w:shd w:val="clear" w:color="auto" w:fill="auto"/>
            <w:tcMar>
              <w:top w:w="0" w:type="dxa"/>
              <w:left w:w="108" w:type="dxa"/>
              <w:bottom w:w="0" w:type="dxa"/>
              <w:right w:w="108" w:type="dxa"/>
            </w:tcMar>
          </w:tcPr>
          <w:p w14:paraId="7EF30987"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9.2.2</w:t>
            </w:r>
          </w:p>
          <w:p w14:paraId="4CC18650" w14:textId="77777777" w:rsidR="00B16F23" w:rsidRPr="00205204" w:rsidRDefault="00B16F23" w:rsidP="00C608D6">
            <w:pPr>
              <w:rPr>
                <w:rFonts w:asciiTheme="minorHAnsi" w:hAnsiTheme="minorHAnsi" w:cstheme="minorHAnsi"/>
                <w:color w:val="000000"/>
              </w:rPr>
            </w:pPr>
            <w:r w:rsidRPr="00205204">
              <w:rPr>
                <w:rFonts w:asciiTheme="minorHAnsi" w:hAnsiTheme="minorHAnsi" w:cstheme="minorHAnsi"/>
              </w:rPr>
              <w:t>NCSC has adopted an action plan based on the lessons learnt during the year for implementation of the system and its integration with the payroll, performance and disciplinary system across all Non-Security Ministries of the Recipient</w:t>
            </w:r>
          </w:p>
        </w:tc>
        <w:tc>
          <w:tcPr>
            <w:tcW w:w="1460" w:type="pct"/>
            <w:shd w:val="clear" w:color="auto" w:fill="auto"/>
            <w:tcMar>
              <w:top w:w="0" w:type="dxa"/>
              <w:left w:w="108" w:type="dxa"/>
              <w:bottom w:w="0" w:type="dxa"/>
              <w:right w:w="108" w:type="dxa"/>
            </w:tcMar>
          </w:tcPr>
          <w:p w14:paraId="374A9816"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NCSC decision on the action plan, which includes: (a) time lines for full integration with the SFMIS; (b) regular technical audits to ensure that the system is functioning; (c) daily biometric attendance monitoring for all staff during 2022; (d) policy guidance to cover those cases if for any legitimate reason biometric attendance is not recorded; (e) the plan to cover all FGS health and education service delivery facilities for attendance monitoring of staff with simpler ICT tools and related processes.</w:t>
            </w:r>
          </w:p>
        </w:tc>
        <w:tc>
          <w:tcPr>
            <w:tcW w:w="591" w:type="pct"/>
            <w:shd w:val="clear" w:color="auto" w:fill="auto"/>
            <w:tcMar>
              <w:top w:w="0" w:type="dxa"/>
              <w:left w:w="108" w:type="dxa"/>
              <w:bottom w:w="0" w:type="dxa"/>
              <w:right w:w="108" w:type="dxa"/>
            </w:tcMar>
          </w:tcPr>
          <w:p w14:paraId="43B9427C"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tcPr>
          <w:p w14:paraId="35385541"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NCSC</w:t>
            </w:r>
          </w:p>
        </w:tc>
        <w:tc>
          <w:tcPr>
            <w:tcW w:w="487" w:type="pct"/>
            <w:shd w:val="clear" w:color="auto" w:fill="auto"/>
            <w:tcMar>
              <w:top w:w="0" w:type="dxa"/>
              <w:left w:w="108" w:type="dxa"/>
              <w:bottom w:w="0" w:type="dxa"/>
              <w:right w:w="108" w:type="dxa"/>
            </w:tcMar>
          </w:tcPr>
          <w:p w14:paraId="4D2B8005"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w:t>
            </w:r>
          </w:p>
        </w:tc>
        <w:tc>
          <w:tcPr>
            <w:tcW w:w="657" w:type="pct"/>
            <w:shd w:val="clear" w:color="auto" w:fill="auto"/>
            <w:tcMar>
              <w:top w:w="0" w:type="dxa"/>
              <w:left w:w="108" w:type="dxa"/>
              <w:bottom w:w="0" w:type="dxa"/>
              <w:right w:w="108" w:type="dxa"/>
            </w:tcMar>
          </w:tcPr>
          <w:p w14:paraId="18DB1EC1"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 to obtain documentation and undertake assessment</w:t>
            </w:r>
          </w:p>
        </w:tc>
      </w:tr>
      <w:tr w:rsidR="00B16F23" w14:paraId="643D49AB" w14:textId="77777777" w:rsidTr="00C608D6">
        <w:trPr>
          <w:trHeight w:val="20"/>
        </w:trPr>
        <w:tc>
          <w:tcPr>
            <w:tcW w:w="5000" w:type="pct"/>
            <w:gridSpan w:val="6"/>
            <w:shd w:val="clear" w:color="auto" w:fill="auto"/>
            <w:tcMar>
              <w:top w:w="0" w:type="dxa"/>
              <w:left w:w="108" w:type="dxa"/>
              <w:bottom w:w="0" w:type="dxa"/>
              <w:right w:w="108" w:type="dxa"/>
            </w:tcMar>
            <w:hideMark/>
          </w:tcPr>
          <w:p w14:paraId="52D8DA58" w14:textId="77777777" w:rsidR="00B16F23" w:rsidRPr="00205204" w:rsidRDefault="00B16F23" w:rsidP="00C608D6">
            <w:pPr>
              <w:keepNext/>
              <w:jc w:val="center"/>
              <w:rPr>
                <w:rFonts w:asciiTheme="minorHAnsi" w:hAnsiTheme="minorHAnsi" w:cstheme="minorHAnsi"/>
              </w:rPr>
            </w:pPr>
            <w:r w:rsidRPr="00205204">
              <w:rPr>
                <w:rFonts w:asciiTheme="minorHAnsi" w:hAnsiTheme="minorHAnsi" w:cstheme="minorHAnsi"/>
                <w:b/>
                <w:bCs/>
                <w:color w:val="000000"/>
              </w:rPr>
              <w:t>DLI 10: Promoting opportunities for women in FGS civil service and leadership</w:t>
            </w:r>
          </w:p>
        </w:tc>
      </w:tr>
      <w:tr w:rsidR="00B16F23" w14:paraId="1A1D1A35" w14:textId="77777777" w:rsidTr="00C608D6">
        <w:trPr>
          <w:trHeight w:val="20"/>
        </w:trPr>
        <w:tc>
          <w:tcPr>
            <w:tcW w:w="971" w:type="pct"/>
            <w:shd w:val="clear" w:color="auto" w:fill="auto"/>
            <w:tcMar>
              <w:top w:w="0" w:type="dxa"/>
              <w:left w:w="108" w:type="dxa"/>
              <w:bottom w:w="0" w:type="dxa"/>
              <w:right w:w="108" w:type="dxa"/>
            </w:tcMar>
            <w:hideMark/>
          </w:tcPr>
          <w:p w14:paraId="1E400DF3"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10.1</w:t>
            </w:r>
          </w:p>
          <w:p w14:paraId="1A63DB2D" w14:textId="77777777" w:rsidR="00B16F23" w:rsidRPr="00205204" w:rsidRDefault="00B16F23" w:rsidP="00C608D6">
            <w:pPr>
              <w:keepNext/>
              <w:rPr>
                <w:rFonts w:asciiTheme="minorHAnsi" w:hAnsiTheme="minorHAnsi" w:cstheme="minorHAnsi"/>
              </w:rPr>
            </w:pPr>
            <w:r w:rsidRPr="00205204">
              <w:rPr>
                <w:rFonts w:asciiTheme="minorHAnsi" w:hAnsiTheme="minorHAnsi" w:cstheme="minorHAnsi"/>
              </w:rPr>
              <w:t xml:space="preserve">NCSC has issued guidelines: (a) documenting the number of women in various grade levels in the </w:t>
            </w:r>
            <w:r w:rsidRPr="00205204">
              <w:rPr>
                <w:rFonts w:asciiTheme="minorHAnsi" w:hAnsiTheme="minorHAnsi" w:cstheme="minorHAnsi"/>
              </w:rPr>
              <w:lastRenderedPageBreak/>
              <w:t>Recipient’s  civil service; (b) detailing measures to attain 30% ratio of women in senior leadership positions; and (c) prescribing annual progress reporting requirements on gender representation in the Recipient’s civil service.</w:t>
            </w:r>
          </w:p>
        </w:tc>
        <w:tc>
          <w:tcPr>
            <w:tcW w:w="1460" w:type="pct"/>
            <w:shd w:val="clear" w:color="auto" w:fill="auto"/>
            <w:tcMar>
              <w:top w:w="0" w:type="dxa"/>
              <w:left w:w="108" w:type="dxa"/>
              <w:bottom w:w="0" w:type="dxa"/>
              <w:right w:w="108" w:type="dxa"/>
            </w:tcMar>
            <w:hideMark/>
          </w:tcPr>
          <w:p w14:paraId="03DC1429" w14:textId="77777777" w:rsidR="00B16F23" w:rsidRPr="00205204" w:rsidRDefault="00B16F23" w:rsidP="00C608D6">
            <w:pPr>
              <w:keepNext/>
              <w:rPr>
                <w:rFonts w:asciiTheme="minorHAnsi" w:hAnsiTheme="minorHAnsi" w:cstheme="minorHAnsi"/>
              </w:rPr>
            </w:pPr>
            <w:r w:rsidRPr="00205204">
              <w:rPr>
                <w:rFonts w:asciiTheme="minorHAnsi" w:hAnsiTheme="minorHAnsi" w:cstheme="minorHAnsi"/>
              </w:rPr>
              <w:lastRenderedPageBreak/>
              <w:t>The NCSC notification of approved guidelines on promoting opportunities for women in civil service</w:t>
            </w:r>
          </w:p>
        </w:tc>
        <w:tc>
          <w:tcPr>
            <w:tcW w:w="591" w:type="pct"/>
            <w:shd w:val="clear" w:color="auto" w:fill="auto"/>
            <w:tcMar>
              <w:top w:w="0" w:type="dxa"/>
              <w:left w:w="108" w:type="dxa"/>
              <w:bottom w:w="0" w:type="dxa"/>
              <w:right w:w="108" w:type="dxa"/>
            </w:tcMar>
            <w:hideMark/>
          </w:tcPr>
          <w:p w14:paraId="2CFE0EF6" w14:textId="77777777" w:rsidR="00B16F23" w:rsidRPr="00205204" w:rsidRDefault="00B16F23" w:rsidP="00C608D6">
            <w:pPr>
              <w:keepNext/>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hideMark/>
          </w:tcPr>
          <w:p w14:paraId="2990B156" w14:textId="77777777" w:rsidR="00B16F23" w:rsidRPr="00205204" w:rsidRDefault="00B16F23" w:rsidP="00C608D6">
            <w:pPr>
              <w:keepNext/>
              <w:rPr>
                <w:rFonts w:asciiTheme="minorHAnsi" w:hAnsiTheme="minorHAnsi" w:cstheme="minorHAnsi"/>
              </w:rPr>
            </w:pPr>
            <w:r w:rsidRPr="00205204">
              <w:rPr>
                <w:rFonts w:asciiTheme="minorHAnsi" w:hAnsiTheme="minorHAnsi" w:cstheme="minorHAnsi"/>
              </w:rPr>
              <w:t>NCSC</w:t>
            </w:r>
          </w:p>
        </w:tc>
        <w:tc>
          <w:tcPr>
            <w:tcW w:w="487" w:type="pct"/>
            <w:shd w:val="clear" w:color="auto" w:fill="auto"/>
            <w:tcMar>
              <w:top w:w="0" w:type="dxa"/>
              <w:left w:w="108" w:type="dxa"/>
              <w:bottom w:w="0" w:type="dxa"/>
              <w:right w:w="108" w:type="dxa"/>
            </w:tcMar>
            <w:hideMark/>
          </w:tcPr>
          <w:p w14:paraId="2EEFEC09" w14:textId="77777777" w:rsidR="00B16F23" w:rsidRPr="00205204" w:rsidRDefault="00B16F23" w:rsidP="00C608D6">
            <w:pPr>
              <w:keepNext/>
              <w:rPr>
                <w:rFonts w:asciiTheme="minorHAnsi" w:hAnsiTheme="minorHAnsi" w:cstheme="minorHAnsi"/>
              </w:rPr>
            </w:pPr>
            <w:r w:rsidRPr="00205204">
              <w:rPr>
                <w:rFonts w:asciiTheme="minorHAnsi" w:hAnsiTheme="minorHAnsi" w:cstheme="minorHAnsi"/>
              </w:rPr>
              <w:t>PIU</w:t>
            </w:r>
          </w:p>
        </w:tc>
        <w:tc>
          <w:tcPr>
            <w:tcW w:w="657" w:type="pct"/>
            <w:shd w:val="clear" w:color="auto" w:fill="auto"/>
            <w:tcMar>
              <w:top w:w="0" w:type="dxa"/>
              <w:left w:w="108" w:type="dxa"/>
              <w:bottom w:w="0" w:type="dxa"/>
              <w:right w:w="108" w:type="dxa"/>
            </w:tcMar>
            <w:hideMark/>
          </w:tcPr>
          <w:p w14:paraId="453EED29" w14:textId="77777777" w:rsidR="00B16F23" w:rsidRPr="00205204" w:rsidRDefault="00B16F23" w:rsidP="00C608D6">
            <w:pPr>
              <w:keepNext/>
              <w:rPr>
                <w:rFonts w:asciiTheme="minorHAnsi" w:hAnsiTheme="minorHAnsi" w:cstheme="minorHAnsi"/>
              </w:rPr>
            </w:pPr>
            <w:r w:rsidRPr="00205204">
              <w:rPr>
                <w:rFonts w:asciiTheme="minorHAnsi" w:hAnsiTheme="minorHAnsi" w:cstheme="minorHAnsi"/>
              </w:rPr>
              <w:t>PIU to obtain documentation</w:t>
            </w:r>
          </w:p>
        </w:tc>
      </w:tr>
      <w:tr w:rsidR="00B16F23" w14:paraId="7CF95AE0" w14:textId="77777777" w:rsidTr="00C608D6">
        <w:trPr>
          <w:trHeight w:val="20"/>
        </w:trPr>
        <w:tc>
          <w:tcPr>
            <w:tcW w:w="971" w:type="pct"/>
            <w:shd w:val="clear" w:color="auto" w:fill="auto"/>
            <w:tcMar>
              <w:top w:w="0" w:type="dxa"/>
              <w:left w:w="108" w:type="dxa"/>
              <w:bottom w:w="0" w:type="dxa"/>
              <w:right w:w="108" w:type="dxa"/>
            </w:tcMar>
            <w:hideMark/>
          </w:tcPr>
          <w:p w14:paraId="698334B3" w14:textId="77777777" w:rsidR="00B16F23" w:rsidRPr="00205204" w:rsidRDefault="00B16F23" w:rsidP="00C608D6">
            <w:pPr>
              <w:rPr>
                <w:rFonts w:asciiTheme="minorHAnsi" w:hAnsiTheme="minorHAnsi" w:cstheme="minorHAnsi"/>
                <w:color w:val="000000"/>
              </w:rPr>
            </w:pPr>
            <w:r w:rsidRPr="00205204">
              <w:rPr>
                <w:rFonts w:asciiTheme="minorHAnsi" w:hAnsiTheme="minorHAnsi" w:cstheme="minorHAnsi"/>
                <w:color w:val="000000"/>
              </w:rPr>
              <w:lastRenderedPageBreak/>
              <w:t>DLR 10.2</w:t>
            </w:r>
          </w:p>
          <w:p w14:paraId="6989A1DF" w14:textId="77777777" w:rsidR="00B16F23" w:rsidRPr="00205204" w:rsidRDefault="00B16F23" w:rsidP="00C608D6">
            <w:pPr>
              <w:rPr>
                <w:rFonts w:asciiTheme="minorHAnsi" w:hAnsiTheme="minorHAnsi" w:cstheme="minorHAnsi"/>
              </w:rPr>
            </w:pPr>
            <w:r w:rsidRPr="00205204">
              <w:rPr>
                <w:rFonts w:asciiTheme="minorHAnsi" w:hAnsiTheme="minorHAnsi" w:cstheme="minorHAnsi"/>
                <w:color w:val="000000"/>
              </w:rPr>
              <w:t>NCSC has published an annual report covering, inter alia: (a) the number of women in various grade levels, including senior leadership positions, in the Recipient’s civil service]; (b) the progress achieved as per the measures prescribed and goals set forth in NCSC gender-related guidelines; and (c) an action plan for the next reporting period to eventually achieve the 30% ratio of women in senior leadership positions by December 2024.</w:t>
            </w:r>
          </w:p>
        </w:tc>
        <w:tc>
          <w:tcPr>
            <w:tcW w:w="1460" w:type="pct"/>
            <w:shd w:val="clear" w:color="auto" w:fill="auto"/>
            <w:tcMar>
              <w:top w:w="0" w:type="dxa"/>
              <w:left w:w="108" w:type="dxa"/>
              <w:bottom w:w="0" w:type="dxa"/>
              <w:right w:w="108" w:type="dxa"/>
            </w:tcMar>
            <w:hideMark/>
          </w:tcPr>
          <w:p w14:paraId="6013E8F6"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Annual report published on the NCSC or MoF website</w:t>
            </w:r>
          </w:p>
        </w:tc>
        <w:tc>
          <w:tcPr>
            <w:tcW w:w="591" w:type="pct"/>
            <w:shd w:val="clear" w:color="auto" w:fill="auto"/>
            <w:tcMar>
              <w:top w:w="0" w:type="dxa"/>
              <w:left w:w="108" w:type="dxa"/>
              <w:bottom w:w="0" w:type="dxa"/>
              <w:right w:w="108" w:type="dxa"/>
            </w:tcMar>
            <w:hideMark/>
          </w:tcPr>
          <w:p w14:paraId="76DD165B"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hideMark/>
          </w:tcPr>
          <w:p w14:paraId="1AAF9DF7"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NCSC, MoF</w:t>
            </w:r>
          </w:p>
        </w:tc>
        <w:tc>
          <w:tcPr>
            <w:tcW w:w="487" w:type="pct"/>
            <w:shd w:val="clear" w:color="auto" w:fill="auto"/>
            <w:tcMar>
              <w:top w:w="0" w:type="dxa"/>
              <w:left w:w="108" w:type="dxa"/>
              <w:bottom w:w="0" w:type="dxa"/>
              <w:right w:w="108" w:type="dxa"/>
            </w:tcMar>
            <w:hideMark/>
          </w:tcPr>
          <w:p w14:paraId="5E4BDEC7"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w:t>
            </w:r>
          </w:p>
        </w:tc>
        <w:tc>
          <w:tcPr>
            <w:tcW w:w="657" w:type="pct"/>
            <w:shd w:val="clear" w:color="auto" w:fill="auto"/>
            <w:tcMar>
              <w:top w:w="0" w:type="dxa"/>
              <w:left w:w="108" w:type="dxa"/>
              <w:bottom w:w="0" w:type="dxa"/>
              <w:right w:w="108" w:type="dxa"/>
            </w:tcMar>
            <w:hideMark/>
          </w:tcPr>
          <w:p w14:paraId="1FAE4E2A"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 to obtain documentation and undertake assessment</w:t>
            </w:r>
          </w:p>
        </w:tc>
      </w:tr>
      <w:tr w:rsidR="00B16F23" w14:paraId="3FF8CB85" w14:textId="77777777" w:rsidTr="00C608D6">
        <w:trPr>
          <w:trHeight w:val="20"/>
        </w:trPr>
        <w:tc>
          <w:tcPr>
            <w:tcW w:w="5000" w:type="pct"/>
            <w:gridSpan w:val="6"/>
            <w:shd w:val="clear" w:color="auto" w:fill="auto"/>
            <w:tcMar>
              <w:top w:w="0" w:type="dxa"/>
              <w:left w:w="108" w:type="dxa"/>
              <w:bottom w:w="0" w:type="dxa"/>
              <w:right w:w="108" w:type="dxa"/>
            </w:tcMar>
            <w:hideMark/>
          </w:tcPr>
          <w:p w14:paraId="0520375E" w14:textId="77777777" w:rsidR="00B16F23" w:rsidRPr="00205204" w:rsidRDefault="00B16F23" w:rsidP="00C608D6">
            <w:pPr>
              <w:jc w:val="center"/>
              <w:rPr>
                <w:rFonts w:asciiTheme="minorHAnsi" w:hAnsiTheme="minorHAnsi" w:cstheme="minorHAnsi"/>
              </w:rPr>
            </w:pPr>
            <w:r w:rsidRPr="00205204">
              <w:rPr>
                <w:rFonts w:asciiTheme="minorHAnsi" w:hAnsiTheme="minorHAnsi" w:cstheme="minorHAnsi"/>
                <w:b/>
                <w:bCs/>
                <w:color w:val="000000"/>
              </w:rPr>
              <w:t>DLI 11: Reforming civil service pay and grading</w:t>
            </w:r>
          </w:p>
        </w:tc>
      </w:tr>
      <w:tr w:rsidR="00B16F23" w14:paraId="0C680274" w14:textId="77777777" w:rsidTr="00C608D6">
        <w:trPr>
          <w:trHeight w:val="20"/>
        </w:trPr>
        <w:tc>
          <w:tcPr>
            <w:tcW w:w="971" w:type="pct"/>
            <w:shd w:val="clear" w:color="auto" w:fill="auto"/>
            <w:tcMar>
              <w:top w:w="0" w:type="dxa"/>
              <w:left w:w="108" w:type="dxa"/>
              <w:bottom w:w="0" w:type="dxa"/>
              <w:right w:w="108" w:type="dxa"/>
            </w:tcMar>
            <w:hideMark/>
          </w:tcPr>
          <w:p w14:paraId="46A473E6" w14:textId="77777777" w:rsidR="00B16F23" w:rsidRPr="00205204" w:rsidRDefault="00B16F23" w:rsidP="00C608D6">
            <w:pPr>
              <w:rPr>
                <w:rFonts w:asciiTheme="minorHAnsi" w:hAnsiTheme="minorHAnsi" w:cstheme="minorHAnsi"/>
                <w:color w:val="000000"/>
              </w:rPr>
            </w:pPr>
            <w:r w:rsidRPr="00205204">
              <w:rPr>
                <w:rFonts w:asciiTheme="minorHAnsi" w:hAnsiTheme="minorHAnsi" w:cstheme="minorHAnsi"/>
                <w:color w:val="000000"/>
              </w:rPr>
              <w:t>DLR 11.1</w:t>
            </w:r>
          </w:p>
          <w:p w14:paraId="2DFF1C71" w14:textId="77777777" w:rsidR="00B16F23" w:rsidRPr="00205204" w:rsidRDefault="00B16F23" w:rsidP="00C608D6">
            <w:pPr>
              <w:rPr>
                <w:rFonts w:asciiTheme="minorHAnsi" w:hAnsiTheme="minorHAnsi" w:cstheme="minorHAnsi"/>
              </w:rPr>
            </w:pPr>
            <w:r w:rsidRPr="00205204">
              <w:rPr>
                <w:rFonts w:asciiTheme="minorHAnsi" w:hAnsiTheme="minorHAnsi" w:cstheme="minorHAnsi"/>
                <w:color w:val="000000"/>
              </w:rPr>
              <w:t xml:space="preserve">The Cabinet has approved a pay and grade reform as </w:t>
            </w:r>
            <w:r w:rsidRPr="00205204">
              <w:rPr>
                <w:rFonts w:asciiTheme="minorHAnsi" w:hAnsiTheme="minorHAnsi" w:cstheme="minorHAnsi"/>
                <w:color w:val="000000"/>
              </w:rPr>
              <w:lastRenderedPageBreak/>
              <w:t>per the technical analysis carried out under the Project</w:t>
            </w:r>
          </w:p>
        </w:tc>
        <w:tc>
          <w:tcPr>
            <w:tcW w:w="1460" w:type="pct"/>
            <w:shd w:val="clear" w:color="auto" w:fill="auto"/>
            <w:tcMar>
              <w:top w:w="0" w:type="dxa"/>
              <w:left w:w="108" w:type="dxa"/>
              <w:bottom w:w="0" w:type="dxa"/>
              <w:right w:w="108" w:type="dxa"/>
            </w:tcMar>
            <w:hideMark/>
          </w:tcPr>
          <w:p w14:paraId="2EF2E562"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lastRenderedPageBreak/>
              <w:t xml:space="preserve">Cabinet decision on the approved pay and grading reform option, which includes: (a) consolidation of allowances into base pay </w:t>
            </w:r>
            <w:r w:rsidRPr="00205204">
              <w:rPr>
                <w:rFonts w:asciiTheme="minorHAnsi" w:hAnsiTheme="minorHAnsi" w:cstheme="minorHAnsi"/>
              </w:rPr>
              <w:lastRenderedPageBreak/>
              <w:t>endorsed as part of the pay and grading policy; (b) integration of CIM staff grades and salaries as well as donor-financed positions into the new civil service pay and grading system; (c) the new pay and grading structure to be the basis for determining pay and grades for civil servants and adviser positions; and (d) fiscal sustainability of the wage bill.</w:t>
            </w:r>
          </w:p>
        </w:tc>
        <w:tc>
          <w:tcPr>
            <w:tcW w:w="591" w:type="pct"/>
            <w:shd w:val="clear" w:color="auto" w:fill="auto"/>
            <w:tcMar>
              <w:top w:w="0" w:type="dxa"/>
              <w:left w:w="108" w:type="dxa"/>
              <w:bottom w:w="0" w:type="dxa"/>
              <w:right w:w="108" w:type="dxa"/>
            </w:tcMar>
            <w:hideMark/>
          </w:tcPr>
          <w:p w14:paraId="37569B45"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lastRenderedPageBreak/>
              <w:t>No</w:t>
            </w:r>
          </w:p>
        </w:tc>
        <w:tc>
          <w:tcPr>
            <w:tcW w:w="834" w:type="pct"/>
            <w:shd w:val="clear" w:color="auto" w:fill="auto"/>
            <w:tcMar>
              <w:top w:w="0" w:type="dxa"/>
              <w:left w:w="108" w:type="dxa"/>
              <w:bottom w:w="0" w:type="dxa"/>
              <w:right w:w="108" w:type="dxa"/>
            </w:tcMar>
            <w:hideMark/>
          </w:tcPr>
          <w:p w14:paraId="108F8887"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NCSC</w:t>
            </w:r>
          </w:p>
        </w:tc>
        <w:tc>
          <w:tcPr>
            <w:tcW w:w="487" w:type="pct"/>
            <w:shd w:val="clear" w:color="auto" w:fill="auto"/>
            <w:tcMar>
              <w:top w:w="0" w:type="dxa"/>
              <w:left w:w="108" w:type="dxa"/>
              <w:bottom w:w="0" w:type="dxa"/>
              <w:right w:w="108" w:type="dxa"/>
            </w:tcMar>
            <w:hideMark/>
          </w:tcPr>
          <w:p w14:paraId="6D754A14"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w:t>
            </w:r>
          </w:p>
        </w:tc>
        <w:tc>
          <w:tcPr>
            <w:tcW w:w="657" w:type="pct"/>
            <w:shd w:val="clear" w:color="auto" w:fill="auto"/>
            <w:tcMar>
              <w:top w:w="0" w:type="dxa"/>
              <w:left w:w="108" w:type="dxa"/>
              <w:bottom w:w="0" w:type="dxa"/>
              <w:right w:w="108" w:type="dxa"/>
            </w:tcMar>
            <w:hideMark/>
          </w:tcPr>
          <w:p w14:paraId="47A7D375"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IVA to obtain documentation </w:t>
            </w:r>
            <w:r w:rsidRPr="00205204">
              <w:rPr>
                <w:rFonts w:asciiTheme="minorHAnsi" w:hAnsiTheme="minorHAnsi" w:cstheme="minorHAnsi"/>
              </w:rPr>
              <w:lastRenderedPageBreak/>
              <w:t>and undertake assessment</w:t>
            </w:r>
          </w:p>
        </w:tc>
      </w:tr>
      <w:tr w:rsidR="00B16F23" w14:paraId="2CE25F50" w14:textId="77777777" w:rsidTr="00C608D6">
        <w:trPr>
          <w:trHeight w:val="20"/>
        </w:trPr>
        <w:tc>
          <w:tcPr>
            <w:tcW w:w="971" w:type="pct"/>
            <w:shd w:val="clear" w:color="auto" w:fill="auto"/>
            <w:tcMar>
              <w:top w:w="0" w:type="dxa"/>
              <w:left w:w="108" w:type="dxa"/>
              <w:bottom w:w="0" w:type="dxa"/>
              <w:right w:w="108" w:type="dxa"/>
            </w:tcMar>
          </w:tcPr>
          <w:p w14:paraId="0D32D28B"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lastRenderedPageBreak/>
              <w:t>DLR 11.2</w:t>
            </w:r>
          </w:p>
          <w:p w14:paraId="71C3CD06" w14:textId="77777777" w:rsidR="00B16F23" w:rsidRPr="00205204" w:rsidRDefault="00B16F23" w:rsidP="00C608D6">
            <w:pPr>
              <w:rPr>
                <w:rFonts w:asciiTheme="minorHAnsi" w:hAnsiTheme="minorHAnsi" w:cstheme="minorHAnsi"/>
                <w:color w:val="000000"/>
              </w:rPr>
            </w:pPr>
            <w:r w:rsidRPr="00205204">
              <w:rPr>
                <w:rFonts w:asciiTheme="minorHAnsi" w:hAnsiTheme="minorHAnsi" w:cstheme="minorHAnsi"/>
              </w:rPr>
              <w:t>The Cabinet has approved a plan for transitioning Capacity Injection Modality staff and other donor-financed positions into the new pay grading system</w:t>
            </w:r>
          </w:p>
        </w:tc>
        <w:tc>
          <w:tcPr>
            <w:tcW w:w="1460" w:type="pct"/>
            <w:shd w:val="clear" w:color="auto" w:fill="auto"/>
            <w:tcMar>
              <w:top w:w="0" w:type="dxa"/>
              <w:left w:w="108" w:type="dxa"/>
              <w:bottom w:w="0" w:type="dxa"/>
              <w:right w:w="108" w:type="dxa"/>
            </w:tcMar>
          </w:tcPr>
          <w:p w14:paraId="7F9D57A9"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FGS Cabinet decision on a plan for transitioning of CIM staff and other donor-financed positions to the new pay and grading system</w:t>
            </w:r>
          </w:p>
        </w:tc>
        <w:tc>
          <w:tcPr>
            <w:tcW w:w="591" w:type="pct"/>
            <w:shd w:val="clear" w:color="auto" w:fill="auto"/>
            <w:tcMar>
              <w:top w:w="0" w:type="dxa"/>
              <w:left w:w="108" w:type="dxa"/>
              <w:bottom w:w="0" w:type="dxa"/>
              <w:right w:w="108" w:type="dxa"/>
            </w:tcMar>
          </w:tcPr>
          <w:p w14:paraId="5238F198"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tcPr>
          <w:p w14:paraId="6D993027"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NCSC</w:t>
            </w:r>
          </w:p>
        </w:tc>
        <w:tc>
          <w:tcPr>
            <w:tcW w:w="487" w:type="pct"/>
            <w:shd w:val="clear" w:color="auto" w:fill="auto"/>
            <w:tcMar>
              <w:top w:w="0" w:type="dxa"/>
              <w:left w:w="108" w:type="dxa"/>
              <w:bottom w:w="0" w:type="dxa"/>
              <w:right w:w="108" w:type="dxa"/>
            </w:tcMar>
          </w:tcPr>
          <w:p w14:paraId="28D94380"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w:t>
            </w:r>
          </w:p>
        </w:tc>
        <w:tc>
          <w:tcPr>
            <w:tcW w:w="657" w:type="pct"/>
            <w:shd w:val="clear" w:color="auto" w:fill="auto"/>
            <w:tcMar>
              <w:top w:w="0" w:type="dxa"/>
              <w:left w:w="108" w:type="dxa"/>
              <w:bottom w:w="0" w:type="dxa"/>
              <w:right w:w="108" w:type="dxa"/>
            </w:tcMar>
          </w:tcPr>
          <w:p w14:paraId="31FF5EBE"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 to obtain documentation and undertake assessment</w:t>
            </w:r>
          </w:p>
        </w:tc>
      </w:tr>
      <w:tr w:rsidR="00B16F23" w14:paraId="60F88EAD" w14:textId="77777777" w:rsidTr="00C608D6">
        <w:trPr>
          <w:trHeight w:val="20"/>
        </w:trPr>
        <w:tc>
          <w:tcPr>
            <w:tcW w:w="5000" w:type="pct"/>
            <w:gridSpan w:val="6"/>
            <w:shd w:val="clear" w:color="auto" w:fill="auto"/>
            <w:tcMar>
              <w:top w:w="0" w:type="dxa"/>
              <w:left w:w="108" w:type="dxa"/>
              <w:bottom w:w="0" w:type="dxa"/>
              <w:right w:w="108" w:type="dxa"/>
            </w:tcMar>
            <w:hideMark/>
          </w:tcPr>
          <w:p w14:paraId="036F5410" w14:textId="77777777" w:rsidR="00B16F23" w:rsidRPr="00205204" w:rsidRDefault="00B16F23" w:rsidP="00C608D6">
            <w:pPr>
              <w:jc w:val="center"/>
              <w:rPr>
                <w:rFonts w:asciiTheme="minorHAnsi" w:hAnsiTheme="minorHAnsi" w:cstheme="minorHAnsi"/>
              </w:rPr>
            </w:pPr>
            <w:r w:rsidRPr="00205204">
              <w:rPr>
                <w:rFonts w:asciiTheme="minorHAnsi" w:hAnsiTheme="minorHAnsi" w:cstheme="minorHAnsi"/>
                <w:b/>
                <w:bCs/>
                <w:color w:val="000000"/>
              </w:rPr>
              <w:t>DLI 12: Reforming pensions policy and administration</w:t>
            </w:r>
          </w:p>
        </w:tc>
      </w:tr>
      <w:tr w:rsidR="00B16F23" w14:paraId="45131563" w14:textId="77777777" w:rsidTr="00C608D6">
        <w:trPr>
          <w:trHeight w:val="20"/>
        </w:trPr>
        <w:tc>
          <w:tcPr>
            <w:tcW w:w="971" w:type="pct"/>
            <w:shd w:val="clear" w:color="auto" w:fill="auto"/>
            <w:tcMar>
              <w:top w:w="0" w:type="dxa"/>
              <w:left w:w="108" w:type="dxa"/>
              <w:bottom w:w="0" w:type="dxa"/>
              <w:right w:w="108" w:type="dxa"/>
            </w:tcMar>
            <w:hideMark/>
          </w:tcPr>
          <w:p w14:paraId="3A866AC6" w14:textId="77777777" w:rsidR="00B16F23" w:rsidRPr="00205204" w:rsidRDefault="00B16F23" w:rsidP="00C608D6">
            <w:pPr>
              <w:rPr>
                <w:rFonts w:asciiTheme="minorHAnsi" w:hAnsiTheme="minorHAnsi" w:cstheme="minorHAnsi"/>
                <w:color w:val="000000"/>
              </w:rPr>
            </w:pPr>
            <w:r w:rsidRPr="00205204">
              <w:rPr>
                <w:rFonts w:asciiTheme="minorHAnsi" w:hAnsiTheme="minorHAnsi" w:cstheme="minorHAnsi"/>
                <w:color w:val="000000"/>
              </w:rPr>
              <w:t>DLR 12.1</w:t>
            </w:r>
          </w:p>
          <w:p w14:paraId="51BB054C" w14:textId="77777777" w:rsidR="00B16F23" w:rsidRPr="00205204" w:rsidRDefault="00B16F23" w:rsidP="00C608D6">
            <w:pPr>
              <w:rPr>
                <w:rFonts w:asciiTheme="minorHAnsi" w:hAnsiTheme="minorHAnsi" w:cstheme="minorHAnsi"/>
              </w:rPr>
            </w:pPr>
            <w:r w:rsidRPr="00205204">
              <w:rPr>
                <w:rFonts w:asciiTheme="minorHAnsi" w:hAnsiTheme="minorHAnsi" w:cstheme="minorHAnsi"/>
                <w:color w:val="000000"/>
              </w:rPr>
              <w:t>The Cabinet has (a) approved a pension policy; and (b) submitted a draft pension law to the Parliament</w:t>
            </w:r>
          </w:p>
        </w:tc>
        <w:tc>
          <w:tcPr>
            <w:tcW w:w="1460" w:type="pct"/>
            <w:shd w:val="clear" w:color="auto" w:fill="auto"/>
            <w:tcMar>
              <w:top w:w="0" w:type="dxa"/>
              <w:left w:w="108" w:type="dxa"/>
              <w:bottom w:w="0" w:type="dxa"/>
              <w:right w:w="108" w:type="dxa"/>
            </w:tcMar>
            <w:hideMark/>
          </w:tcPr>
          <w:p w14:paraId="0EC70682"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FGS Cabinet decision on pension policy and the draft pension law submitted to the Parliament.</w:t>
            </w:r>
          </w:p>
        </w:tc>
        <w:tc>
          <w:tcPr>
            <w:tcW w:w="591" w:type="pct"/>
            <w:shd w:val="clear" w:color="auto" w:fill="auto"/>
            <w:tcMar>
              <w:top w:w="0" w:type="dxa"/>
              <w:left w:w="108" w:type="dxa"/>
              <w:bottom w:w="0" w:type="dxa"/>
              <w:right w:w="108" w:type="dxa"/>
            </w:tcMar>
            <w:hideMark/>
          </w:tcPr>
          <w:p w14:paraId="04517129"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hideMark/>
          </w:tcPr>
          <w:p w14:paraId="436EF3C2"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MoF, NCSC, MoLSA</w:t>
            </w:r>
          </w:p>
        </w:tc>
        <w:tc>
          <w:tcPr>
            <w:tcW w:w="487" w:type="pct"/>
            <w:shd w:val="clear" w:color="auto" w:fill="auto"/>
            <w:tcMar>
              <w:top w:w="0" w:type="dxa"/>
              <w:left w:w="108" w:type="dxa"/>
              <w:bottom w:w="0" w:type="dxa"/>
              <w:right w:w="108" w:type="dxa"/>
            </w:tcMar>
            <w:hideMark/>
          </w:tcPr>
          <w:p w14:paraId="128A265B"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PIU</w:t>
            </w:r>
          </w:p>
        </w:tc>
        <w:tc>
          <w:tcPr>
            <w:tcW w:w="657" w:type="pct"/>
            <w:shd w:val="clear" w:color="auto" w:fill="auto"/>
            <w:tcMar>
              <w:top w:w="0" w:type="dxa"/>
              <w:left w:w="108" w:type="dxa"/>
              <w:bottom w:w="0" w:type="dxa"/>
              <w:right w:w="108" w:type="dxa"/>
            </w:tcMar>
            <w:hideMark/>
          </w:tcPr>
          <w:p w14:paraId="58EE3278"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PIU to obtain documentation</w:t>
            </w:r>
          </w:p>
        </w:tc>
      </w:tr>
      <w:tr w:rsidR="00B16F23" w14:paraId="0772D3BE" w14:textId="77777777" w:rsidTr="00C608D6">
        <w:trPr>
          <w:trHeight w:val="20"/>
        </w:trPr>
        <w:tc>
          <w:tcPr>
            <w:tcW w:w="971" w:type="pct"/>
            <w:shd w:val="clear" w:color="auto" w:fill="auto"/>
            <w:tcMar>
              <w:top w:w="0" w:type="dxa"/>
              <w:left w:w="108" w:type="dxa"/>
              <w:bottom w:w="0" w:type="dxa"/>
              <w:right w:w="108" w:type="dxa"/>
            </w:tcMar>
            <w:hideMark/>
          </w:tcPr>
          <w:p w14:paraId="0828511B" w14:textId="77777777" w:rsidR="00B16F23" w:rsidRPr="00205204" w:rsidRDefault="00B16F23" w:rsidP="00C608D6">
            <w:pPr>
              <w:rPr>
                <w:rFonts w:asciiTheme="minorHAnsi" w:hAnsiTheme="minorHAnsi" w:cstheme="minorHAnsi"/>
                <w:color w:val="262626"/>
              </w:rPr>
            </w:pPr>
            <w:r w:rsidRPr="00205204">
              <w:rPr>
                <w:rFonts w:asciiTheme="minorHAnsi" w:hAnsiTheme="minorHAnsi" w:cstheme="minorHAnsi"/>
                <w:color w:val="262626"/>
              </w:rPr>
              <w:t>DLR 12.2</w:t>
            </w:r>
          </w:p>
          <w:p w14:paraId="0DBC3FFE" w14:textId="77777777" w:rsidR="00B16F23" w:rsidRPr="00205204" w:rsidRDefault="00B16F23" w:rsidP="00C608D6">
            <w:pPr>
              <w:rPr>
                <w:rFonts w:asciiTheme="minorHAnsi" w:hAnsiTheme="minorHAnsi" w:cstheme="minorHAnsi"/>
              </w:rPr>
            </w:pPr>
            <w:r w:rsidRPr="00205204">
              <w:rPr>
                <w:rFonts w:asciiTheme="minorHAnsi" w:hAnsiTheme="minorHAnsi" w:cstheme="minorHAnsi"/>
                <w:color w:val="262626"/>
              </w:rPr>
              <w:t>The Recipient has adopted pension regulations.</w:t>
            </w:r>
          </w:p>
        </w:tc>
        <w:tc>
          <w:tcPr>
            <w:tcW w:w="1460" w:type="pct"/>
            <w:shd w:val="clear" w:color="auto" w:fill="auto"/>
            <w:tcMar>
              <w:top w:w="0" w:type="dxa"/>
              <w:left w:w="108" w:type="dxa"/>
              <w:bottom w:w="0" w:type="dxa"/>
              <w:right w:w="108" w:type="dxa"/>
            </w:tcMar>
            <w:hideMark/>
          </w:tcPr>
          <w:p w14:paraId="09EFBC2F"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FGS decision on pension regulations </w:t>
            </w:r>
          </w:p>
        </w:tc>
        <w:tc>
          <w:tcPr>
            <w:tcW w:w="591" w:type="pct"/>
            <w:shd w:val="clear" w:color="auto" w:fill="auto"/>
            <w:tcMar>
              <w:top w:w="0" w:type="dxa"/>
              <w:left w:w="108" w:type="dxa"/>
              <w:bottom w:w="0" w:type="dxa"/>
              <w:right w:w="108" w:type="dxa"/>
            </w:tcMar>
            <w:hideMark/>
          </w:tcPr>
          <w:p w14:paraId="4D13006F"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hideMark/>
          </w:tcPr>
          <w:p w14:paraId="6D04865A"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MoF, NCSC, MoLSA</w:t>
            </w:r>
          </w:p>
        </w:tc>
        <w:tc>
          <w:tcPr>
            <w:tcW w:w="487" w:type="pct"/>
            <w:shd w:val="clear" w:color="auto" w:fill="auto"/>
            <w:tcMar>
              <w:top w:w="0" w:type="dxa"/>
              <w:left w:w="108" w:type="dxa"/>
              <w:bottom w:w="0" w:type="dxa"/>
              <w:right w:w="108" w:type="dxa"/>
            </w:tcMar>
            <w:hideMark/>
          </w:tcPr>
          <w:p w14:paraId="61A31757"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PIU</w:t>
            </w:r>
          </w:p>
        </w:tc>
        <w:tc>
          <w:tcPr>
            <w:tcW w:w="657" w:type="pct"/>
            <w:shd w:val="clear" w:color="auto" w:fill="auto"/>
            <w:tcMar>
              <w:top w:w="0" w:type="dxa"/>
              <w:left w:w="108" w:type="dxa"/>
              <w:bottom w:w="0" w:type="dxa"/>
              <w:right w:w="108" w:type="dxa"/>
            </w:tcMar>
            <w:hideMark/>
          </w:tcPr>
          <w:p w14:paraId="48C34D21"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PIU to obtain documentation</w:t>
            </w:r>
          </w:p>
        </w:tc>
      </w:tr>
      <w:tr w:rsidR="00B16F23" w14:paraId="6B7F5948" w14:textId="77777777" w:rsidTr="00C608D6">
        <w:trPr>
          <w:trHeight w:val="20"/>
        </w:trPr>
        <w:tc>
          <w:tcPr>
            <w:tcW w:w="971" w:type="pct"/>
            <w:shd w:val="clear" w:color="auto" w:fill="auto"/>
            <w:tcMar>
              <w:top w:w="0" w:type="dxa"/>
              <w:left w:w="108" w:type="dxa"/>
              <w:bottom w:w="0" w:type="dxa"/>
              <w:right w:w="108" w:type="dxa"/>
            </w:tcMar>
            <w:hideMark/>
          </w:tcPr>
          <w:p w14:paraId="5B31D0F3"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12.3.1</w:t>
            </w:r>
          </w:p>
          <w:p w14:paraId="2129EB92"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The Recipient has retired, granted </w:t>
            </w:r>
            <w:r>
              <w:rPr>
                <w:rFonts w:asciiTheme="minorHAnsi" w:hAnsiTheme="minorHAnsi" w:cstheme="minorHAnsi"/>
              </w:rPr>
              <w:t xml:space="preserve">pensions, </w:t>
            </w:r>
            <w:r w:rsidRPr="00205204">
              <w:rPr>
                <w:rFonts w:asciiTheme="minorHAnsi" w:hAnsiTheme="minorHAnsi" w:cstheme="minorHAnsi"/>
              </w:rPr>
              <w:t xml:space="preserve">and started paying </w:t>
            </w:r>
            <w:r>
              <w:rPr>
                <w:rFonts w:asciiTheme="minorHAnsi" w:hAnsiTheme="minorHAnsi" w:cstheme="minorHAnsi"/>
              </w:rPr>
              <w:t xml:space="preserve">them </w:t>
            </w:r>
            <w:r w:rsidRPr="00205204">
              <w:rPr>
                <w:rFonts w:asciiTheme="minorHAnsi" w:hAnsiTheme="minorHAnsi" w:cstheme="minorHAnsi"/>
              </w:rPr>
              <w:t>as of January 1, 202</w:t>
            </w:r>
            <w:r>
              <w:rPr>
                <w:rFonts w:asciiTheme="minorHAnsi" w:hAnsiTheme="minorHAnsi" w:cstheme="minorHAnsi"/>
              </w:rPr>
              <w:t>2</w:t>
            </w:r>
            <w:r w:rsidRPr="00205204">
              <w:rPr>
                <w:rFonts w:asciiTheme="minorHAnsi" w:hAnsiTheme="minorHAnsi" w:cstheme="minorHAnsi"/>
              </w:rPr>
              <w:t xml:space="preserve">, to all civil </w:t>
            </w:r>
            <w:r w:rsidRPr="00205204">
              <w:rPr>
                <w:rFonts w:asciiTheme="minorHAnsi" w:hAnsiTheme="minorHAnsi" w:cstheme="minorHAnsi"/>
              </w:rPr>
              <w:lastRenderedPageBreak/>
              <w:t>servants at, or above, the mandatory pension age</w:t>
            </w:r>
          </w:p>
        </w:tc>
        <w:tc>
          <w:tcPr>
            <w:tcW w:w="1460" w:type="pct"/>
            <w:shd w:val="clear" w:color="auto" w:fill="auto"/>
            <w:tcMar>
              <w:top w:w="0" w:type="dxa"/>
              <w:left w:w="108" w:type="dxa"/>
              <w:bottom w:w="0" w:type="dxa"/>
              <w:right w:w="108" w:type="dxa"/>
            </w:tcMar>
            <w:hideMark/>
          </w:tcPr>
          <w:p w14:paraId="603F0C17"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lastRenderedPageBreak/>
              <w:t>Pension payroll/registry with benefit calculations</w:t>
            </w:r>
          </w:p>
        </w:tc>
        <w:tc>
          <w:tcPr>
            <w:tcW w:w="591" w:type="pct"/>
            <w:shd w:val="clear" w:color="auto" w:fill="auto"/>
            <w:tcMar>
              <w:top w:w="0" w:type="dxa"/>
              <w:left w:w="108" w:type="dxa"/>
              <w:bottom w:w="0" w:type="dxa"/>
              <w:right w:w="108" w:type="dxa"/>
            </w:tcMar>
            <w:hideMark/>
          </w:tcPr>
          <w:p w14:paraId="6DBFB634"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hideMark/>
          </w:tcPr>
          <w:p w14:paraId="6EBDDFA6"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MoF</w:t>
            </w:r>
          </w:p>
        </w:tc>
        <w:tc>
          <w:tcPr>
            <w:tcW w:w="487" w:type="pct"/>
            <w:shd w:val="clear" w:color="auto" w:fill="auto"/>
            <w:tcMar>
              <w:top w:w="0" w:type="dxa"/>
              <w:left w:w="108" w:type="dxa"/>
              <w:bottom w:w="0" w:type="dxa"/>
              <w:right w:w="108" w:type="dxa"/>
            </w:tcMar>
            <w:hideMark/>
          </w:tcPr>
          <w:p w14:paraId="0539DFC4"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w:t>
            </w:r>
          </w:p>
        </w:tc>
        <w:tc>
          <w:tcPr>
            <w:tcW w:w="657" w:type="pct"/>
            <w:shd w:val="clear" w:color="auto" w:fill="auto"/>
            <w:tcMar>
              <w:top w:w="0" w:type="dxa"/>
              <w:left w:w="108" w:type="dxa"/>
              <w:bottom w:w="0" w:type="dxa"/>
              <w:right w:w="108" w:type="dxa"/>
            </w:tcMar>
            <w:hideMark/>
          </w:tcPr>
          <w:p w14:paraId="184A0A71"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 to obtain documentation and undertake assessment</w:t>
            </w:r>
          </w:p>
        </w:tc>
      </w:tr>
      <w:tr w:rsidR="00B16F23" w14:paraId="6E6F2BA1" w14:textId="77777777" w:rsidTr="00C608D6">
        <w:trPr>
          <w:trHeight w:val="20"/>
        </w:trPr>
        <w:tc>
          <w:tcPr>
            <w:tcW w:w="971" w:type="pct"/>
            <w:shd w:val="clear" w:color="auto" w:fill="auto"/>
            <w:tcMar>
              <w:top w:w="0" w:type="dxa"/>
              <w:left w:w="108" w:type="dxa"/>
              <w:bottom w:w="0" w:type="dxa"/>
              <w:right w:w="108" w:type="dxa"/>
            </w:tcMar>
          </w:tcPr>
          <w:p w14:paraId="0F90FCE5" w14:textId="77777777" w:rsidR="00B16F23" w:rsidRPr="00205204" w:rsidRDefault="00B16F23" w:rsidP="00C608D6">
            <w:pPr>
              <w:rPr>
                <w:rFonts w:asciiTheme="minorHAnsi" w:hAnsiTheme="minorHAnsi" w:cstheme="minorHAnsi"/>
                <w:color w:val="000000"/>
              </w:rPr>
            </w:pPr>
            <w:r w:rsidRPr="00205204">
              <w:rPr>
                <w:rFonts w:asciiTheme="minorHAnsi" w:hAnsiTheme="minorHAnsi" w:cstheme="minorHAnsi"/>
                <w:color w:val="000000"/>
              </w:rPr>
              <w:lastRenderedPageBreak/>
              <w:t>DLR 12.3.2</w:t>
            </w:r>
          </w:p>
          <w:p w14:paraId="484299A9" w14:textId="77777777" w:rsidR="00B16F23" w:rsidRPr="00205204" w:rsidRDefault="00B16F23" w:rsidP="00C608D6">
            <w:pPr>
              <w:rPr>
                <w:rFonts w:asciiTheme="minorHAnsi" w:hAnsiTheme="minorHAnsi" w:cstheme="minorHAnsi"/>
                <w:color w:val="000000"/>
              </w:rPr>
            </w:pPr>
            <w:r w:rsidRPr="00205204">
              <w:rPr>
                <w:rFonts w:asciiTheme="minorHAnsi" w:hAnsiTheme="minorHAnsi" w:cstheme="minorHAnsi"/>
                <w:color w:val="000000"/>
              </w:rPr>
              <w:t>The MoF has established a pension fund department</w:t>
            </w:r>
          </w:p>
        </w:tc>
        <w:tc>
          <w:tcPr>
            <w:tcW w:w="1460" w:type="pct"/>
            <w:shd w:val="clear" w:color="auto" w:fill="auto"/>
            <w:tcMar>
              <w:top w:w="0" w:type="dxa"/>
              <w:left w:w="108" w:type="dxa"/>
              <w:bottom w:w="0" w:type="dxa"/>
              <w:right w:w="108" w:type="dxa"/>
            </w:tcMar>
          </w:tcPr>
          <w:p w14:paraId="3E0DB246"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Approved ToRs, signed contracts, and recruitment documents</w:t>
            </w:r>
          </w:p>
        </w:tc>
        <w:tc>
          <w:tcPr>
            <w:tcW w:w="591" w:type="pct"/>
            <w:shd w:val="clear" w:color="auto" w:fill="auto"/>
            <w:tcMar>
              <w:top w:w="0" w:type="dxa"/>
              <w:left w:w="108" w:type="dxa"/>
              <w:bottom w:w="0" w:type="dxa"/>
              <w:right w:w="108" w:type="dxa"/>
            </w:tcMar>
          </w:tcPr>
          <w:p w14:paraId="2E7D0504"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tcPr>
          <w:p w14:paraId="0D363F46"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MoF</w:t>
            </w:r>
          </w:p>
        </w:tc>
        <w:tc>
          <w:tcPr>
            <w:tcW w:w="487" w:type="pct"/>
            <w:shd w:val="clear" w:color="auto" w:fill="auto"/>
            <w:tcMar>
              <w:top w:w="0" w:type="dxa"/>
              <w:left w:w="108" w:type="dxa"/>
              <w:bottom w:w="0" w:type="dxa"/>
              <w:right w:w="108" w:type="dxa"/>
            </w:tcMar>
          </w:tcPr>
          <w:p w14:paraId="75262B94"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w:t>
            </w:r>
          </w:p>
        </w:tc>
        <w:tc>
          <w:tcPr>
            <w:tcW w:w="657" w:type="pct"/>
            <w:shd w:val="clear" w:color="auto" w:fill="auto"/>
            <w:tcMar>
              <w:top w:w="0" w:type="dxa"/>
              <w:left w:w="108" w:type="dxa"/>
              <w:bottom w:w="0" w:type="dxa"/>
              <w:right w:w="108" w:type="dxa"/>
            </w:tcMar>
          </w:tcPr>
          <w:p w14:paraId="5462D416"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 to obtain documentation and undertake assessment</w:t>
            </w:r>
          </w:p>
        </w:tc>
      </w:tr>
      <w:tr w:rsidR="00B16F23" w14:paraId="528393A3" w14:textId="77777777" w:rsidTr="00C608D6">
        <w:trPr>
          <w:trHeight w:val="20"/>
        </w:trPr>
        <w:tc>
          <w:tcPr>
            <w:tcW w:w="5000" w:type="pct"/>
            <w:gridSpan w:val="6"/>
            <w:shd w:val="clear" w:color="auto" w:fill="auto"/>
            <w:tcMar>
              <w:top w:w="0" w:type="dxa"/>
              <w:left w:w="108" w:type="dxa"/>
              <w:bottom w:w="0" w:type="dxa"/>
              <w:right w:w="108" w:type="dxa"/>
            </w:tcMar>
            <w:hideMark/>
          </w:tcPr>
          <w:p w14:paraId="39E99EF3" w14:textId="77777777" w:rsidR="00B16F23" w:rsidRPr="00205204" w:rsidRDefault="00B16F23" w:rsidP="00C608D6">
            <w:pPr>
              <w:jc w:val="center"/>
              <w:rPr>
                <w:rFonts w:asciiTheme="minorHAnsi" w:hAnsiTheme="minorHAnsi" w:cstheme="minorHAnsi"/>
              </w:rPr>
            </w:pPr>
            <w:r w:rsidRPr="00205204">
              <w:rPr>
                <w:rFonts w:asciiTheme="minorHAnsi" w:hAnsiTheme="minorHAnsi" w:cstheme="minorHAnsi"/>
                <w:b/>
                <w:bCs/>
                <w:color w:val="000000"/>
              </w:rPr>
              <w:t>DLI 13: Improving wage bill management and transparency</w:t>
            </w:r>
          </w:p>
        </w:tc>
      </w:tr>
      <w:tr w:rsidR="00B16F23" w14:paraId="60B67881" w14:textId="77777777" w:rsidTr="00C608D6">
        <w:trPr>
          <w:trHeight w:val="20"/>
        </w:trPr>
        <w:tc>
          <w:tcPr>
            <w:tcW w:w="971" w:type="pct"/>
            <w:shd w:val="clear" w:color="auto" w:fill="auto"/>
            <w:tcMar>
              <w:top w:w="0" w:type="dxa"/>
              <w:left w:w="108" w:type="dxa"/>
              <w:bottom w:w="0" w:type="dxa"/>
              <w:right w:w="108" w:type="dxa"/>
            </w:tcMar>
            <w:hideMark/>
          </w:tcPr>
          <w:p w14:paraId="1CC3B95F" w14:textId="77777777" w:rsidR="00B16F23" w:rsidRPr="00205204" w:rsidRDefault="00B16F23" w:rsidP="00C608D6">
            <w:pPr>
              <w:rPr>
                <w:rFonts w:asciiTheme="minorHAnsi" w:hAnsiTheme="minorHAnsi" w:cstheme="minorHAnsi"/>
                <w:color w:val="000000"/>
              </w:rPr>
            </w:pPr>
            <w:r w:rsidRPr="00205204">
              <w:rPr>
                <w:rFonts w:asciiTheme="minorHAnsi" w:hAnsiTheme="minorHAnsi" w:cstheme="minorHAnsi"/>
                <w:color w:val="000000"/>
              </w:rPr>
              <w:t>DLR 13.1</w:t>
            </w:r>
          </w:p>
          <w:p w14:paraId="1BAB2D3B" w14:textId="77777777" w:rsidR="00B16F23" w:rsidRPr="00205204" w:rsidRDefault="00B16F23" w:rsidP="00C608D6">
            <w:pPr>
              <w:rPr>
                <w:rFonts w:asciiTheme="minorHAnsi" w:hAnsiTheme="minorHAnsi" w:cstheme="minorHAnsi"/>
                <w:color w:val="000000"/>
              </w:rPr>
            </w:pPr>
            <w:r w:rsidRPr="00205204">
              <w:rPr>
                <w:rFonts w:asciiTheme="minorHAnsi" w:hAnsiTheme="minorHAnsi" w:cstheme="minorHAnsi"/>
                <w:color w:val="000000"/>
              </w:rPr>
              <w:t xml:space="preserve">The Cabinet has approved an action plan to improve the transparency and management of a reduced nonformal wage bill </w:t>
            </w:r>
          </w:p>
          <w:p w14:paraId="10F3015C" w14:textId="77777777" w:rsidR="00B16F23" w:rsidRPr="00205204" w:rsidRDefault="00B16F23" w:rsidP="00C608D6">
            <w:pPr>
              <w:rPr>
                <w:rFonts w:asciiTheme="minorHAnsi" w:hAnsiTheme="minorHAnsi" w:cstheme="minorHAnsi"/>
              </w:rPr>
            </w:pPr>
          </w:p>
        </w:tc>
        <w:tc>
          <w:tcPr>
            <w:tcW w:w="1460" w:type="pct"/>
            <w:shd w:val="clear" w:color="auto" w:fill="auto"/>
            <w:tcMar>
              <w:top w:w="0" w:type="dxa"/>
              <w:left w:w="108" w:type="dxa"/>
              <w:bottom w:w="0" w:type="dxa"/>
              <w:right w:w="108" w:type="dxa"/>
            </w:tcMar>
            <w:hideMark/>
          </w:tcPr>
          <w:p w14:paraId="5587E07E" w14:textId="77777777" w:rsidR="00B16F23" w:rsidRPr="00205204" w:rsidRDefault="00B16F23" w:rsidP="00C608D6">
            <w:pPr>
              <w:rPr>
                <w:rFonts w:asciiTheme="minorHAnsi" w:hAnsiTheme="minorHAnsi" w:cstheme="minorHAnsi"/>
                <w:color w:val="000000"/>
              </w:rPr>
            </w:pPr>
            <w:r w:rsidRPr="00205204">
              <w:rPr>
                <w:rFonts w:asciiTheme="minorHAnsi" w:hAnsiTheme="minorHAnsi" w:cstheme="minorHAnsi"/>
              </w:rPr>
              <w:t xml:space="preserve">FGS Cabinet approves an action plan </w:t>
            </w:r>
            <w:r w:rsidRPr="00205204">
              <w:rPr>
                <w:rFonts w:asciiTheme="minorHAnsi" w:hAnsiTheme="minorHAnsi" w:cstheme="minorHAnsi"/>
                <w:color w:val="000000"/>
              </w:rPr>
              <w:t xml:space="preserve">including timelines, resources, results and allocation of responsibilities, to improve the transparency and management of a reduced nonformal wage bill </w:t>
            </w:r>
          </w:p>
          <w:p w14:paraId="58BC12D8" w14:textId="77777777" w:rsidR="00B16F23" w:rsidRPr="00205204" w:rsidRDefault="00B16F23" w:rsidP="00C608D6">
            <w:pPr>
              <w:rPr>
                <w:rFonts w:asciiTheme="minorHAnsi" w:hAnsiTheme="minorHAnsi" w:cstheme="minorHAnsi"/>
                <w:color w:val="000000"/>
              </w:rPr>
            </w:pPr>
          </w:p>
          <w:p w14:paraId="422BD6D7" w14:textId="77777777" w:rsidR="00B16F23" w:rsidRPr="00205204" w:rsidRDefault="00B16F23" w:rsidP="00C608D6">
            <w:pPr>
              <w:rPr>
                <w:rFonts w:asciiTheme="minorHAnsi" w:hAnsiTheme="minorHAnsi" w:cstheme="minorHAnsi"/>
              </w:rPr>
            </w:pPr>
            <w:r w:rsidRPr="00205204">
              <w:rPr>
                <w:rFonts w:asciiTheme="minorHAnsi" w:hAnsiTheme="minorHAnsi" w:cstheme="minorHAnsi"/>
                <w:color w:val="000000"/>
              </w:rPr>
              <w:t xml:space="preserve">The action plan is based on a study that suggests </w:t>
            </w:r>
            <w:r w:rsidRPr="00205204">
              <w:rPr>
                <w:rFonts w:asciiTheme="minorHAnsi" w:hAnsiTheme="minorHAnsi" w:cstheme="minorHAnsi"/>
              </w:rPr>
              <w:t>measures to (a) improve the granularity of the accounting of the wage bill; (b) enhance the format of the reporting and disclosure; (c) reduce the amount and share of the wages and allowances on expenditures for the non-formalized payroll; (d) establish recurrent approach to monthly analysis and reporting of the dollar value and number of individuals for the non-formalized wage bill by MDA, by 6-digit Object Code, disaggregated by cadre; and(e)</w:t>
            </w:r>
            <w:r w:rsidRPr="00205204">
              <w:rPr>
                <w:rFonts w:asciiTheme="minorHAnsi" w:hAnsiTheme="minorHAnsi" w:cstheme="minorHAnsi"/>
                <w:color w:val="000000"/>
              </w:rPr>
              <w:t>maps all personnel under the non-formal wage bill</w:t>
            </w:r>
          </w:p>
        </w:tc>
        <w:tc>
          <w:tcPr>
            <w:tcW w:w="591" w:type="pct"/>
            <w:shd w:val="clear" w:color="auto" w:fill="auto"/>
            <w:tcMar>
              <w:top w:w="0" w:type="dxa"/>
              <w:left w:w="108" w:type="dxa"/>
              <w:bottom w:w="0" w:type="dxa"/>
              <w:right w:w="108" w:type="dxa"/>
            </w:tcMar>
            <w:hideMark/>
          </w:tcPr>
          <w:p w14:paraId="26DDBEF0"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hideMark/>
          </w:tcPr>
          <w:p w14:paraId="23F2C5F2"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MoF</w:t>
            </w:r>
          </w:p>
        </w:tc>
        <w:tc>
          <w:tcPr>
            <w:tcW w:w="487" w:type="pct"/>
            <w:shd w:val="clear" w:color="auto" w:fill="auto"/>
            <w:tcMar>
              <w:top w:w="0" w:type="dxa"/>
              <w:left w:w="108" w:type="dxa"/>
              <w:bottom w:w="0" w:type="dxa"/>
              <w:right w:w="108" w:type="dxa"/>
            </w:tcMar>
            <w:hideMark/>
          </w:tcPr>
          <w:p w14:paraId="33A096B4"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w:t>
            </w:r>
          </w:p>
        </w:tc>
        <w:tc>
          <w:tcPr>
            <w:tcW w:w="657" w:type="pct"/>
            <w:shd w:val="clear" w:color="auto" w:fill="auto"/>
            <w:tcMar>
              <w:top w:w="0" w:type="dxa"/>
              <w:left w:w="108" w:type="dxa"/>
              <w:bottom w:w="0" w:type="dxa"/>
              <w:right w:w="108" w:type="dxa"/>
            </w:tcMar>
            <w:hideMark/>
          </w:tcPr>
          <w:p w14:paraId="32C23D4D"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 to obtain documentation and undertake assessment</w:t>
            </w:r>
          </w:p>
        </w:tc>
      </w:tr>
      <w:tr w:rsidR="00B16F23" w14:paraId="6DC493D0" w14:textId="77777777" w:rsidTr="00C608D6">
        <w:trPr>
          <w:trHeight w:val="20"/>
        </w:trPr>
        <w:tc>
          <w:tcPr>
            <w:tcW w:w="5000" w:type="pct"/>
            <w:gridSpan w:val="6"/>
            <w:shd w:val="clear" w:color="auto" w:fill="auto"/>
            <w:tcMar>
              <w:top w:w="0" w:type="dxa"/>
              <w:left w:w="108" w:type="dxa"/>
              <w:bottom w:w="0" w:type="dxa"/>
              <w:right w:w="108" w:type="dxa"/>
            </w:tcMar>
            <w:hideMark/>
          </w:tcPr>
          <w:p w14:paraId="5339DC48" w14:textId="77777777" w:rsidR="00B16F23" w:rsidRPr="00205204" w:rsidRDefault="00B16F23" w:rsidP="00C608D6">
            <w:pPr>
              <w:jc w:val="center"/>
              <w:rPr>
                <w:rFonts w:asciiTheme="minorHAnsi" w:hAnsiTheme="minorHAnsi" w:cstheme="minorHAnsi"/>
              </w:rPr>
            </w:pPr>
            <w:r w:rsidRPr="00205204">
              <w:rPr>
                <w:rFonts w:asciiTheme="minorHAnsi" w:hAnsiTheme="minorHAnsi" w:cstheme="minorHAnsi"/>
                <w:b/>
                <w:bCs/>
                <w:color w:val="000000"/>
              </w:rPr>
              <w:t>DLI 14: Harmonizing CoA and reliable and timely consolidated fiscal reports</w:t>
            </w:r>
          </w:p>
        </w:tc>
      </w:tr>
      <w:tr w:rsidR="00B16F23" w14:paraId="72F2D76B" w14:textId="77777777" w:rsidTr="00C608D6">
        <w:trPr>
          <w:trHeight w:val="20"/>
        </w:trPr>
        <w:tc>
          <w:tcPr>
            <w:tcW w:w="971" w:type="pct"/>
            <w:shd w:val="clear" w:color="auto" w:fill="auto"/>
            <w:tcMar>
              <w:top w:w="0" w:type="dxa"/>
              <w:left w:w="108" w:type="dxa"/>
              <w:bottom w:w="0" w:type="dxa"/>
              <w:right w:w="108" w:type="dxa"/>
            </w:tcMar>
            <w:hideMark/>
          </w:tcPr>
          <w:p w14:paraId="296794B7" w14:textId="77777777" w:rsidR="00B16F23" w:rsidRPr="00205204" w:rsidRDefault="00B16F23" w:rsidP="00C608D6">
            <w:pPr>
              <w:rPr>
                <w:rFonts w:asciiTheme="minorHAnsi" w:hAnsiTheme="minorHAnsi" w:cstheme="minorHAnsi"/>
                <w:color w:val="000000"/>
              </w:rPr>
            </w:pPr>
            <w:r w:rsidRPr="00205204">
              <w:rPr>
                <w:rFonts w:asciiTheme="minorHAnsi" w:hAnsiTheme="minorHAnsi" w:cstheme="minorHAnsi"/>
                <w:color w:val="000000"/>
              </w:rPr>
              <w:t>DLR 14.1</w:t>
            </w:r>
          </w:p>
          <w:p w14:paraId="05C0F797" w14:textId="77777777" w:rsidR="00B16F23" w:rsidRPr="00205204" w:rsidRDefault="00B16F23" w:rsidP="00C608D6">
            <w:pPr>
              <w:rPr>
                <w:rFonts w:asciiTheme="minorHAnsi" w:hAnsiTheme="minorHAnsi" w:cstheme="minorHAnsi"/>
              </w:rPr>
            </w:pPr>
            <w:r w:rsidRPr="00205204">
              <w:rPr>
                <w:rFonts w:asciiTheme="minorHAnsi" w:hAnsiTheme="minorHAnsi" w:cstheme="minorHAnsi"/>
                <w:color w:val="000000"/>
              </w:rPr>
              <w:t xml:space="preserve">MoF has: (a) issued a policy prescribing: (i) the harmonization of the </w:t>
            </w:r>
            <w:r w:rsidRPr="00205204">
              <w:rPr>
                <w:rFonts w:asciiTheme="minorHAnsi" w:hAnsiTheme="minorHAnsi" w:cstheme="minorHAnsi"/>
                <w:color w:val="000000"/>
              </w:rPr>
              <w:lastRenderedPageBreak/>
              <w:t>budget codes and chart of accounts; (ii) the standardization of reporting formats, collection and consolidation of budget data; and (ii) generation of  financial/budget reports; and (b) established a dedicated financial reporting unit to implement the foregoing policy.</w:t>
            </w:r>
          </w:p>
        </w:tc>
        <w:tc>
          <w:tcPr>
            <w:tcW w:w="1460" w:type="pct"/>
            <w:shd w:val="clear" w:color="auto" w:fill="auto"/>
            <w:tcMar>
              <w:top w:w="0" w:type="dxa"/>
              <w:left w:w="108" w:type="dxa"/>
              <w:bottom w:w="0" w:type="dxa"/>
              <w:right w:w="108" w:type="dxa"/>
            </w:tcMar>
            <w:hideMark/>
          </w:tcPr>
          <w:p w14:paraId="56E71DCB"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lastRenderedPageBreak/>
              <w:t xml:space="preserve">The MoF’s decision on a policy pertaining to harmonization of CoA, consolidation of budget data, and generation of consolidated fiscal reports. MoF decision </w:t>
            </w:r>
            <w:r w:rsidRPr="00205204">
              <w:rPr>
                <w:rFonts w:asciiTheme="minorHAnsi" w:hAnsiTheme="minorHAnsi" w:cstheme="minorHAnsi"/>
              </w:rPr>
              <w:lastRenderedPageBreak/>
              <w:t xml:space="preserve">on the establishment of a Financial Reporting Unit. </w:t>
            </w:r>
          </w:p>
        </w:tc>
        <w:tc>
          <w:tcPr>
            <w:tcW w:w="591" w:type="pct"/>
            <w:shd w:val="clear" w:color="auto" w:fill="auto"/>
            <w:tcMar>
              <w:top w:w="0" w:type="dxa"/>
              <w:left w:w="108" w:type="dxa"/>
              <w:bottom w:w="0" w:type="dxa"/>
              <w:right w:w="108" w:type="dxa"/>
            </w:tcMar>
            <w:hideMark/>
          </w:tcPr>
          <w:p w14:paraId="7B6EC896"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lastRenderedPageBreak/>
              <w:t>No</w:t>
            </w:r>
          </w:p>
        </w:tc>
        <w:tc>
          <w:tcPr>
            <w:tcW w:w="834" w:type="pct"/>
            <w:shd w:val="clear" w:color="auto" w:fill="auto"/>
            <w:tcMar>
              <w:top w:w="0" w:type="dxa"/>
              <w:left w:w="108" w:type="dxa"/>
              <w:bottom w:w="0" w:type="dxa"/>
              <w:right w:w="108" w:type="dxa"/>
            </w:tcMar>
            <w:hideMark/>
          </w:tcPr>
          <w:p w14:paraId="64122C82"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MoF</w:t>
            </w:r>
          </w:p>
        </w:tc>
        <w:tc>
          <w:tcPr>
            <w:tcW w:w="487" w:type="pct"/>
            <w:shd w:val="clear" w:color="auto" w:fill="auto"/>
            <w:tcMar>
              <w:top w:w="0" w:type="dxa"/>
              <w:left w:w="108" w:type="dxa"/>
              <w:bottom w:w="0" w:type="dxa"/>
              <w:right w:w="108" w:type="dxa"/>
            </w:tcMar>
            <w:hideMark/>
          </w:tcPr>
          <w:p w14:paraId="2842678C"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PIU</w:t>
            </w:r>
          </w:p>
        </w:tc>
        <w:tc>
          <w:tcPr>
            <w:tcW w:w="657" w:type="pct"/>
            <w:shd w:val="clear" w:color="auto" w:fill="auto"/>
            <w:tcMar>
              <w:top w:w="0" w:type="dxa"/>
              <w:left w:w="108" w:type="dxa"/>
              <w:bottom w:w="0" w:type="dxa"/>
              <w:right w:w="108" w:type="dxa"/>
            </w:tcMar>
            <w:hideMark/>
          </w:tcPr>
          <w:p w14:paraId="168B240D" w14:textId="77777777" w:rsidR="00B16F23" w:rsidRPr="00205204" w:rsidRDefault="00B16F23" w:rsidP="00C608D6">
            <w:pPr>
              <w:rPr>
                <w:rFonts w:asciiTheme="minorHAnsi" w:hAnsiTheme="minorHAnsi" w:cstheme="minorHAnsi"/>
                <w:lang w:val="ru-RU"/>
              </w:rPr>
            </w:pPr>
            <w:r w:rsidRPr="00205204">
              <w:rPr>
                <w:rFonts w:asciiTheme="minorHAnsi" w:hAnsiTheme="minorHAnsi" w:cstheme="minorHAnsi"/>
              </w:rPr>
              <w:t>PIU to obtain documentation</w:t>
            </w:r>
          </w:p>
        </w:tc>
      </w:tr>
      <w:tr w:rsidR="00B16F23" w14:paraId="0C0DFBCE" w14:textId="77777777" w:rsidTr="00C608D6">
        <w:trPr>
          <w:trHeight w:val="20"/>
        </w:trPr>
        <w:tc>
          <w:tcPr>
            <w:tcW w:w="971" w:type="pct"/>
            <w:shd w:val="clear" w:color="auto" w:fill="auto"/>
            <w:tcMar>
              <w:top w:w="0" w:type="dxa"/>
              <w:left w:w="108" w:type="dxa"/>
              <w:bottom w:w="0" w:type="dxa"/>
              <w:right w:w="108" w:type="dxa"/>
            </w:tcMar>
            <w:hideMark/>
          </w:tcPr>
          <w:p w14:paraId="693F15C3"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lastRenderedPageBreak/>
              <w:t>DLR 14.2</w:t>
            </w:r>
          </w:p>
          <w:p w14:paraId="3432B747"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MoF’s newly established financial reporting unit has developed and adopted: (a) a harmonized/unified budget classification/chart of accounts; (b) control mechanisms to manage the expansion of the unified chart of accounts in line with the requirements of the MDAs at federal, state and local government-levels; and (c) standard reporting formats to collect and consolidate budget results from the SFMIS platforms and/or other financial management information systems at federal and state levels.   </w:t>
            </w:r>
          </w:p>
        </w:tc>
        <w:tc>
          <w:tcPr>
            <w:tcW w:w="1460" w:type="pct"/>
            <w:shd w:val="clear" w:color="auto" w:fill="auto"/>
            <w:tcMar>
              <w:top w:w="0" w:type="dxa"/>
              <w:left w:w="108" w:type="dxa"/>
              <w:bottom w:w="0" w:type="dxa"/>
              <w:right w:w="108" w:type="dxa"/>
            </w:tcMar>
            <w:hideMark/>
          </w:tcPr>
          <w:p w14:paraId="18ADE5AE"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The MoF’s decision on (i) a harmonized/unified BC/CoA, (ii) control mechanisms to manage the expansion of unified CoA, and (iii) standard reporting formats to collect and consolidate budget results from SFMIS platforms and/or other sources.</w:t>
            </w:r>
          </w:p>
        </w:tc>
        <w:tc>
          <w:tcPr>
            <w:tcW w:w="591" w:type="pct"/>
            <w:shd w:val="clear" w:color="auto" w:fill="auto"/>
            <w:tcMar>
              <w:top w:w="0" w:type="dxa"/>
              <w:left w:w="108" w:type="dxa"/>
              <w:bottom w:w="0" w:type="dxa"/>
              <w:right w:w="108" w:type="dxa"/>
            </w:tcMar>
            <w:hideMark/>
          </w:tcPr>
          <w:p w14:paraId="6250F13E"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hideMark/>
          </w:tcPr>
          <w:p w14:paraId="5643B7BB"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MoF FGS, BC/CoA, SFMIS</w:t>
            </w:r>
          </w:p>
        </w:tc>
        <w:tc>
          <w:tcPr>
            <w:tcW w:w="487" w:type="pct"/>
            <w:shd w:val="clear" w:color="auto" w:fill="auto"/>
            <w:tcMar>
              <w:top w:w="0" w:type="dxa"/>
              <w:left w:w="108" w:type="dxa"/>
              <w:bottom w:w="0" w:type="dxa"/>
              <w:right w:w="108" w:type="dxa"/>
            </w:tcMar>
            <w:hideMark/>
          </w:tcPr>
          <w:p w14:paraId="7EEC6376"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PIU</w:t>
            </w:r>
          </w:p>
        </w:tc>
        <w:tc>
          <w:tcPr>
            <w:tcW w:w="657" w:type="pct"/>
            <w:shd w:val="clear" w:color="auto" w:fill="auto"/>
            <w:tcMar>
              <w:top w:w="0" w:type="dxa"/>
              <w:left w:w="108" w:type="dxa"/>
              <w:bottom w:w="0" w:type="dxa"/>
              <w:right w:w="108" w:type="dxa"/>
            </w:tcMar>
            <w:hideMark/>
          </w:tcPr>
          <w:p w14:paraId="4DB0A099"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PIU to obtain documentation</w:t>
            </w:r>
          </w:p>
        </w:tc>
      </w:tr>
      <w:tr w:rsidR="00B16F23" w14:paraId="21E88762" w14:textId="77777777" w:rsidTr="00C608D6">
        <w:trPr>
          <w:trHeight w:val="20"/>
        </w:trPr>
        <w:tc>
          <w:tcPr>
            <w:tcW w:w="971" w:type="pct"/>
            <w:shd w:val="clear" w:color="auto" w:fill="auto"/>
            <w:tcMar>
              <w:top w:w="0" w:type="dxa"/>
              <w:left w:w="108" w:type="dxa"/>
              <w:bottom w:w="0" w:type="dxa"/>
              <w:right w:w="108" w:type="dxa"/>
            </w:tcMar>
            <w:hideMark/>
          </w:tcPr>
          <w:p w14:paraId="0F81C8BC"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lastRenderedPageBreak/>
              <w:t>DLR 14.3.1</w:t>
            </w:r>
          </w:p>
          <w:p w14:paraId="00FE7EEF"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The Recipient has (a) prepared the budget for Fiscal Year 2022 using implemented the new unified chart of accounts (“CoA”); and (b) has issued instructions for the use of the new CoA in the SFMIS  as well as other financial management information platforms at federal and state levels for the  planned budget execution of Fiscal Year 2022</w:t>
            </w:r>
          </w:p>
        </w:tc>
        <w:tc>
          <w:tcPr>
            <w:tcW w:w="1460" w:type="pct"/>
            <w:shd w:val="clear" w:color="auto" w:fill="auto"/>
            <w:tcMar>
              <w:top w:w="0" w:type="dxa"/>
              <w:left w:w="108" w:type="dxa"/>
              <w:bottom w:w="0" w:type="dxa"/>
              <w:right w:w="108" w:type="dxa"/>
            </w:tcMar>
            <w:hideMark/>
          </w:tcPr>
          <w:p w14:paraId="3E5857DD"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(i) 2022 budget documentation prepared using the new unified CoA; (ii) SFMIS platform reflects new CoA for 2022 budget execution; (iii) instructions for the use of the new CoA in the SFMIS  as well as other financial management information platforms at federal and state levels for the  planned budget execution of Fiscal Year 2022 </w:t>
            </w:r>
          </w:p>
        </w:tc>
        <w:tc>
          <w:tcPr>
            <w:tcW w:w="591" w:type="pct"/>
            <w:shd w:val="clear" w:color="auto" w:fill="auto"/>
            <w:tcMar>
              <w:top w:w="0" w:type="dxa"/>
              <w:left w:w="108" w:type="dxa"/>
              <w:bottom w:w="0" w:type="dxa"/>
              <w:right w:w="108" w:type="dxa"/>
            </w:tcMar>
            <w:hideMark/>
          </w:tcPr>
          <w:p w14:paraId="5E2F863C"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hideMark/>
          </w:tcPr>
          <w:p w14:paraId="603DA601"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MoF </w:t>
            </w:r>
          </w:p>
        </w:tc>
        <w:tc>
          <w:tcPr>
            <w:tcW w:w="487" w:type="pct"/>
            <w:shd w:val="clear" w:color="auto" w:fill="auto"/>
            <w:tcMar>
              <w:top w:w="0" w:type="dxa"/>
              <w:left w:w="108" w:type="dxa"/>
              <w:bottom w:w="0" w:type="dxa"/>
              <w:right w:w="108" w:type="dxa"/>
            </w:tcMar>
            <w:hideMark/>
          </w:tcPr>
          <w:p w14:paraId="38165805"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w:t>
            </w:r>
          </w:p>
        </w:tc>
        <w:tc>
          <w:tcPr>
            <w:tcW w:w="657" w:type="pct"/>
            <w:shd w:val="clear" w:color="auto" w:fill="auto"/>
            <w:tcMar>
              <w:top w:w="0" w:type="dxa"/>
              <w:left w:w="108" w:type="dxa"/>
              <w:bottom w:w="0" w:type="dxa"/>
              <w:right w:w="108" w:type="dxa"/>
            </w:tcMar>
            <w:hideMark/>
          </w:tcPr>
          <w:p w14:paraId="4C3B819F"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 to obtain documentation and undertake assessment</w:t>
            </w:r>
          </w:p>
        </w:tc>
      </w:tr>
      <w:tr w:rsidR="00B16F23" w14:paraId="44F7CBC9" w14:textId="77777777" w:rsidTr="00C608D6">
        <w:trPr>
          <w:trHeight w:val="20"/>
        </w:trPr>
        <w:tc>
          <w:tcPr>
            <w:tcW w:w="971" w:type="pct"/>
            <w:shd w:val="clear" w:color="auto" w:fill="auto"/>
            <w:tcMar>
              <w:top w:w="0" w:type="dxa"/>
              <w:left w:w="108" w:type="dxa"/>
              <w:bottom w:w="0" w:type="dxa"/>
              <w:right w:w="108" w:type="dxa"/>
            </w:tcMar>
          </w:tcPr>
          <w:p w14:paraId="709E6D2D"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14.3.2</w:t>
            </w:r>
          </w:p>
          <w:p w14:paraId="08CF487E" w14:textId="77777777" w:rsidR="00B16F23" w:rsidRPr="00A72A15" w:rsidRDefault="00B16F23" w:rsidP="00C608D6">
            <w:pPr>
              <w:rPr>
                <w:rFonts w:asciiTheme="minorHAnsi" w:hAnsiTheme="minorHAnsi" w:cstheme="minorHAnsi"/>
                <w:color w:val="000000"/>
              </w:rPr>
            </w:pPr>
            <w:r w:rsidRPr="00C838D8">
              <w:rPr>
                <w:rFonts w:asciiTheme="minorHAnsi" w:hAnsiTheme="minorHAnsi" w:cstheme="minorHAnsi"/>
              </w:rPr>
              <w:t xml:space="preserve">MoF has published monthly fiscal reports using the new CoA and reporting formats in the financial management information system platforms of the Recipient and FMSs starting from January 1, 2022  </w:t>
            </w:r>
          </w:p>
        </w:tc>
        <w:tc>
          <w:tcPr>
            <w:tcW w:w="1460" w:type="pct"/>
            <w:shd w:val="clear" w:color="auto" w:fill="auto"/>
            <w:tcMar>
              <w:top w:w="0" w:type="dxa"/>
              <w:left w:w="108" w:type="dxa"/>
              <w:bottom w:w="0" w:type="dxa"/>
              <w:right w:w="108" w:type="dxa"/>
            </w:tcMar>
          </w:tcPr>
          <w:p w14:paraId="131CC80B"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Monthly fiscal reports</w:t>
            </w:r>
            <w:r>
              <w:rPr>
                <w:rFonts w:asciiTheme="minorHAnsi" w:hAnsiTheme="minorHAnsi" w:cstheme="minorHAnsi"/>
              </w:rPr>
              <w:t xml:space="preserve"> are prepared</w:t>
            </w:r>
            <w:r w:rsidRPr="00205204">
              <w:rPr>
                <w:rFonts w:asciiTheme="minorHAnsi" w:hAnsiTheme="minorHAnsi" w:cstheme="minorHAnsi"/>
              </w:rPr>
              <w:t xml:space="preserve"> in line with the Policy Pertaining to Harmonization of the CoA, Consolidation of Budget Data, and Generation of Consolidated Fiscal Reports </w:t>
            </w:r>
            <w:r>
              <w:rPr>
                <w:rFonts w:asciiTheme="minorHAnsi" w:hAnsiTheme="minorHAnsi" w:cstheme="minorHAnsi"/>
              </w:rPr>
              <w:t xml:space="preserve">and </w:t>
            </w:r>
            <w:r w:rsidRPr="00205204">
              <w:rPr>
                <w:rFonts w:asciiTheme="minorHAnsi" w:hAnsiTheme="minorHAnsi" w:cstheme="minorHAnsi"/>
              </w:rPr>
              <w:t>published on the MoF website</w:t>
            </w:r>
          </w:p>
        </w:tc>
        <w:tc>
          <w:tcPr>
            <w:tcW w:w="591" w:type="pct"/>
            <w:shd w:val="clear" w:color="auto" w:fill="auto"/>
            <w:tcMar>
              <w:top w:w="0" w:type="dxa"/>
              <w:left w:w="108" w:type="dxa"/>
              <w:bottom w:w="0" w:type="dxa"/>
              <w:right w:w="108" w:type="dxa"/>
            </w:tcMar>
          </w:tcPr>
          <w:p w14:paraId="5232FF4C"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tcPr>
          <w:p w14:paraId="0978F462"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MoF </w:t>
            </w:r>
          </w:p>
        </w:tc>
        <w:tc>
          <w:tcPr>
            <w:tcW w:w="487" w:type="pct"/>
            <w:shd w:val="clear" w:color="auto" w:fill="auto"/>
            <w:tcMar>
              <w:top w:w="0" w:type="dxa"/>
              <w:left w:w="108" w:type="dxa"/>
              <w:bottom w:w="0" w:type="dxa"/>
              <w:right w:w="108" w:type="dxa"/>
            </w:tcMar>
          </w:tcPr>
          <w:p w14:paraId="00440B0D"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w:t>
            </w:r>
          </w:p>
        </w:tc>
        <w:tc>
          <w:tcPr>
            <w:tcW w:w="657" w:type="pct"/>
            <w:shd w:val="clear" w:color="auto" w:fill="auto"/>
            <w:tcMar>
              <w:top w:w="0" w:type="dxa"/>
              <w:left w:w="108" w:type="dxa"/>
              <w:bottom w:w="0" w:type="dxa"/>
              <w:right w:w="108" w:type="dxa"/>
            </w:tcMar>
          </w:tcPr>
          <w:p w14:paraId="4D68B515"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 to obtain documentation and undertake assessment</w:t>
            </w:r>
          </w:p>
        </w:tc>
      </w:tr>
      <w:tr w:rsidR="00B16F23" w14:paraId="64AB9FC0" w14:textId="77777777" w:rsidTr="00C608D6">
        <w:trPr>
          <w:trHeight w:val="20"/>
        </w:trPr>
        <w:tc>
          <w:tcPr>
            <w:tcW w:w="5000" w:type="pct"/>
            <w:gridSpan w:val="6"/>
            <w:shd w:val="clear" w:color="auto" w:fill="auto"/>
            <w:tcMar>
              <w:top w:w="0" w:type="dxa"/>
              <w:left w:w="108" w:type="dxa"/>
              <w:bottom w:w="0" w:type="dxa"/>
              <w:right w:w="108" w:type="dxa"/>
            </w:tcMar>
            <w:hideMark/>
          </w:tcPr>
          <w:p w14:paraId="7151A81F" w14:textId="77777777" w:rsidR="00B16F23" w:rsidRPr="00205204" w:rsidRDefault="00B16F23" w:rsidP="00C608D6">
            <w:pPr>
              <w:jc w:val="center"/>
              <w:rPr>
                <w:rFonts w:asciiTheme="minorHAnsi" w:hAnsiTheme="minorHAnsi" w:cstheme="minorHAnsi"/>
              </w:rPr>
            </w:pPr>
            <w:r w:rsidRPr="00205204">
              <w:rPr>
                <w:rFonts w:asciiTheme="minorHAnsi" w:hAnsiTheme="minorHAnsi" w:cstheme="minorHAnsi"/>
                <w:b/>
                <w:bCs/>
                <w:color w:val="000000"/>
              </w:rPr>
              <w:t>DLI 15: Enhancing health service delivery systems</w:t>
            </w:r>
          </w:p>
        </w:tc>
      </w:tr>
      <w:tr w:rsidR="00B16F23" w14:paraId="65560AE0" w14:textId="77777777" w:rsidTr="00C608D6">
        <w:trPr>
          <w:trHeight w:val="20"/>
        </w:trPr>
        <w:tc>
          <w:tcPr>
            <w:tcW w:w="971" w:type="pct"/>
            <w:shd w:val="clear" w:color="auto" w:fill="auto"/>
            <w:tcMar>
              <w:top w:w="0" w:type="dxa"/>
              <w:left w:w="108" w:type="dxa"/>
              <w:bottom w:w="0" w:type="dxa"/>
              <w:right w:w="108" w:type="dxa"/>
            </w:tcMar>
            <w:hideMark/>
          </w:tcPr>
          <w:p w14:paraId="271C7792"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15.1</w:t>
            </w:r>
          </w:p>
          <w:p w14:paraId="0A23E852"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MoH has issued instructions to use the mobile phone infrastructure for improved delivery and performance management of the Marwo Caafimaad Program</w:t>
            </w:r>
          </w:p>
        </w:tc>
        <w:tc>
          <w:tcPr>
            <w:tcW w:w="1460" w:type="pct"/>
            <w:shd w:val="clear" w:color="auto" w:fill="auto"/>
            <w:tcMar>
              <w:top w:w="0" w:type="dxa"/>
              <w:left w:w="108" w:type="dxa"/>
              <w:bottom w:w="0" w:type="dxa"/>
              <w:right w:w="108" w:type="dxa"/>
            </w:tcMar>
            <w:hideMark/>
          </w:tcPr>
          <w:p w14:paraId="1E9441D2"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MoH instructions on the use of mobile phone in reporting for improved delivery and performance management </w:t>
            </w:r>
          </w:p>
        </w:tc>
        <w:tc>
          <w:tcPr>
            <w:tcW w:w="591" w:type="pct"/>
            <w:shd w:val="clear" w:color="auto" w:fill="auto"/>
            <w:tcMar>
              <w:top w:w="0" w:type="dxa"/>
              <w:left w:w="108" w:type="dxa"/>
              <w:bottom w:w="0" w:type="dxa"/>
              <w:right w:w="108" w:type="dxa"/>
            </w:tcMar>
            <w:hideMark/>
          </w:tcPr>
          <w:p w14:paraId="38ADD953"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hideMark/>
          </w:tcPr>
          <w:p w14:paraId="00771C4C"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MoH FGS</w:t>
            </w:r>
          </w:p>
        </w:tc>
        <w:tc>
          <w:tcPr>
            <w:tcW w:w="487" w:type="pct"/>
            <w:shd w:val="clear" w:color="auto" w:fill="auto"/>
            <w:tcMar>
              <w:top w:w="0" w:type="dxa"/>
              <w:left w:w="108" w:type="dxa"/>
              <w:bottom w:w="0" w:type="dxa"/>
              <w:right w:w="108" w:type="dxa"/>
            </w:tcMar>
            <w:hideMark/>
          </w:tcPr>
          <w:p w14:paraId="74854C99"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PIU</w:t>
            </w:r>
          </w:p>
        </w:tc>
        <w:tc>
          <w:tcPr>
            <w:tcW w:w="657" w:type="pct"/>
            <w:shd w:val="clear" w:color="auto" w:fill="auto"/>
            <w:tcMar>
              <w:top w:w="0" w:type="dxa"/>
              <w:left w:w="108" w:type="dxa"/>
              <w:bottom w:w="0" w:type="dxa"/>
              <w:right w:w="108" w:type="dxa"/>
            </w:tcMar>
            <w:hideMark/>
          </w:tcPr>
          <w:p w14:paraId="38D8843E"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PIU to obtain documentation</w:t>
            </w:r>
          </w:p>
        </w:tc>
      </w:tr>
      <w:tr w:rsidR="00B16F23" w14:paraId="0830FAE1" w14:textId="77777777" w:rsidTr="00C608D6">
        <w:trPr>
          <w:trHeight w:val="20"/>
        </w:trPr>
        <w:tc>
          <w:tcPr>
            <w:tcW w:w="971" w:type="pct"/>
            <w:shd w:val="clear" w:color="auto" w:fill="auto"/>
            <w:tcMar>
              <w:top w:w="0" w:type="dxa"/>
              <w:left w:w="108" w:type="dxa"/>
              <w:bottom w:w="0" w:type="dxa"/>
              <w:right w:w="108" w:type="dxa"/>
            </w:tcMar>
            <w:hideMark/>
          </w:tcPr>
          <w:p w14:paraId="30EC10BD"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lastRenderedPageBreak/>
              <w:t>DLR 15.2</w:t>
            </w:r>
          </w:p>
          <w:p w14:paraId="6B4AE292"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MoH has piloted  data gathering from, and training of, female health works (“FHW”) and female health supervisors (“FHS”) in at least two (2) FMSs or one FMS and BRA.</w:t>
            </w:r>
          </w:p>
        </w:tc>
        <w:tc>
          <w:tcPr>
            <w:tcW w:w="1460" w:type="pct"/>
            <w:shd w:val="clear" w:color="auto" w:fill="auto"/>
            <w:tcMar>
              <w:top w:w="0" w:type="dxa"/>
              <w:left w:w="108" w:type="dxa"/>
              <w:bottom w:w="0" w:type="dxa"/>
              <w:right w:w="108" w:type="dxa"/>
            </w:tcMar>
            <w:hideMark/>
          </w:tcPr>
          <w:p w14:paraId="32E2F8EB" w14:textId="77777777" w:rsidR="00B16F23" w:rsidRPr="00205204" w:rsidRDefault="00B16F23" w:rsidP="00C608D6">
            <w:pPr>
              <w:pStyle w:val="ListParagraph"/>
              <w:spacing w:after="240"/>
              <w:ind w:left="0"/>
              <w:contextualSpacing w:val="0"/>
              <w:jc w:val="both"/>
              <w:rPr>
                <w:rFonts w:cstheme="minorHAnsi"/>
              </w:rPr>
            </w:pPr>
            <w:r w:rsidRPr="00205204">
              <w:rPr>
                <w:rFonts w:cstheme="minorHAnsi"/>
              </w:rPr>
              <w:t xml:space="preserve">Monthly reports submitted by FHSs in at least two jurisdictions using smartphones. </w:t>
            </w:r>
          </w:p>
          <w:p w14:paraId="48742F34" w14:textId="77777777" w:rsidR="00B16F23" w:rsidRPr="00205204" w:rsidRDefault="00B16F23" w:rsidP="00C608D6">
            <w:pPr>
              <w:pStyle w:val="ListParagraph"/>
              <w:spacing w:after="240"/>
              <w:ind w:left="0"/>
              <w:contextualSpacing w:val="0"/>
              <w:jc w:val="both"/>
              <w:rPr>
                <w:rFonts w:cstheme="minorHAnsi"/>
              </w:rPr>
            </w:pPr>
            <w:r w:rsidRPr="00205204">
              <w:rPr>
                <w:rFonts w:cstheme="minorHAnsi"/>
              </w:rPr>
              <w:t xml:space="preserve">Messages sent once a week for two weeks to at least 100 FHWs/FHSs using mobile phones for guidance/training in a minimum of two states or one state and Benadir. </w:t>
            </w:r>
          </w:p>
          <w:p w14:paraId="2C43C3F2" w14:textId="77777777" w:rsidR="00B16F23" w:rsidRPr="00205204" w:rsidRDefault="00B16F23" w:rsidP="00C608D6">
            <w:pPr>
              <w:rPr>
                <w:rFonts w:asciiTheme="minorHAnsi" w:hAnsiTheme="minorHAnsi" w:cstheme="minorHAnsi"/>
              </w:rPr>
            </w:pPr>
          </w:p>
        </w:tc>
        <w:tc>
          <w:tcPr>
            <w:tcW w:w="591" w:type="pct"/>
            <w:shd w:val="clear" w:color="auto" w:fill="auto"/>
            <w:tcMar>
              <w:top w:w="0" w:type="dxa"/>
              <w:left w:w="108" w:type="dxa"/>
              <w:bottom w:w="0" w:type="dxa"/>
              <w:right w:w="108" w:type="dxa"/>
            </w:tcMar>
            <w:hideMark/>
          </w:tcPr>
          <w:p w14:paraId="3EC0DD87"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hideMark/>
          </w:tcPr>
          <w:p w14:paraId="07FF49E1"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MoH FGS</w:t>
            </w:r>
          </w:p>
        </w:tc>
        <w:tc>
          <w:tcPr>
            <w:tcW w:w="487" w:type="pct"/>
            <w:shd w:val="clear" w:color="auto" w:fill="auto"/>
            <w:tcMar>
              <w:top w:w="0" w:type="dxa"/>
              <w:left w:w="108" w:type="dxa"/>
              <w:bottom w:w="0" w:type="dxa"/>
              <w:right w:w="108" w:type="dxa"/>
            </w:tcMar>
            <w:hideMark/>
          </w:tcPr>
          <w:p w14:paraId="67C1FB4D"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w:t>
            </w:r>
          </w:p>
        </w:tc>
        <w:tc>
          <w:tcPr>
            <w:tcW w:w="657" w:type="pct"/>
            <w:shd w:val="clear" w:color="auto" w:fill="auto"/>
            <w:tcMar>
              <w:top w:w="0" w:type="dxa"/>
              <w:left w:w="108" w:type="dxa"/>
              <w:bottom w:w="0" w:type="dxa"/>
              <w:right w:w="108" w:type="dxa"/>
            </w:tcMar>
            <w:hideMark/>
          </w:tcPr>
          <w:p w14:paraId="17D2AC84"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 to obtain documentation and undertake assessment</w:t>
            </w:r>
          </w:p>
        </w:tc>
      </w:tr>
      <w:tr w:rsidR="00B16F23" w14:paraId="2E187A52" w14:textId="77777777" w:rsidTr="00C608D6">
        <w:trPr>
          <w:trHeight w:val="20"/>
        </w:trPr>
        <w:tc>
          <w:tcPr>
            <w:tcW w:w="971" w:type="pct"/>
            <w:shd w:val="clear" w:color="auto" w:fill="auto"/>
            <w:tcMar>
              <w:top w:w="0" w:type="dxa"/>
              <w:left w:w="108" w:type="dxa"/>
              <w:bottom w:w="0" w:type="dxa"/>
              <w:right w:w="108" w:type="dxa"/>
            </w:tcMar>
            <w:hideMark/>
          </w:tcPr>
          <w:p w14:paraId="5A1542AF"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15.3.1</w:t>
            </w:r>
          </w:p>
          <w:p w14:paraId="7CAC0F35"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MoH and the FMoHs have recruited, trained, and deployed at least 700 FHW/FHS</w:t>
            </w:r>
          </w:p>
        </w:tc>
        <w:tc>
          <w:tcPr>
            <w:tcW w:w="1460" w:type="pct"/>
            <w:shd w:val="clear" w:color="auto" w:fill="auto"/>
            <w:tcMar>
              <w:top w:w="0" w:type="dxa"/>
              <w:left w:w="108" w:type="dxa"/>
              <w:bottom w:w="0" w:type="dxa"/>
              <w:right w:w="108" w:type="dxa"/>
            </w:tcMar>
            <w:hideMark/>
          </w:tcPr>
          <w:p w14:paraId="6FD06A13"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Contracts, training, and attendance records for 700 FHWs/FHSs  </w:t>
            </w:r>
          </w:p>
        </w:tc>
        <w:tc>
          <w:tcPr>
            <w:tcW w:w="591" w:type="pct"/>
            <w:shd w:val="clear" w:color="auto" w:fill="auto"/>
            <w:tcMar>
              <w:top w:w="0" w:type="dxa"/>
              <w:left w:w="108" w:type="dxa"/>
              <w:bottom w:w="0" w:type="dxa"/>
              <w:right w:w="108" w:type="dxa"/>
            </w:tcMar>
            <w:hideMark/>
          </w:tcPr>
          <w:p w14:paraId="298244A1"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hideMark/>
          </w:tcPr>
          <w:p w14:paraId="058F935B"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MOH FGS</w:t>
            </w:r>
          </w:p>
        </w:tc>
        <w:tc>
          <w:tcPr>
            <w:tcW w:w="487" w:type="pct"/>
            <w:shd w:val="clear" w:color="auto" w:fill="auto"/>
            <w:tcMar>
              <w:top w:w="0" w:type="dxa"/>
              <w:left w:w="108" w:type="dxa"/>
              <w:bottom w:w="0" w:type="dxa"/>
              <w:right w:w="108" w:type="dxa"/>
            </w:tcMar>
            <w:hideMark/>
          </w:tcPr>
          <w:p w14:paraId="7014CCBE"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w:t>
            </w:r>
          </w:p>
        </w:tc>
        <w:tc>
          <w:tcPr>
            <w:tcW w:w="657" w:type="pct"/>
            <w:shd w:val="clear" w:color="auto" w:fill="auto"/>
            <w:tcMar>
              <w:top w:w="0" w:type="dxa"/>
              <w:left w:w="108" w:type="dxa"/>
              <w:bottom w:w="0" w:type="dxa"/>
              <w:right w:w="108" w:type="dxa"/>
            </w:tcMar>
            <w:hideMark/>
          </w:tcPr>
          <w:p w14:paraId="68FF8830"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 to obtain documentation and undertake assessment</w:t>
            </w:r>
          </w:p>
        </w:tc>
      </w:tr>
      <w:tr w:rsidR="00B16F23" w14:paraId="5AFDDE18" w14:textId="77777777" w:rsidTr="00C608D6">
        <w:trPr>
          <w:trHeight w:val="20"/>
        </w:trPr>
        <w:tc>
          <w:tcPr>
            <w:tcW w:w="971" w:type="pct"/>
            <w:shd w:val="clear" w:color="auto" w:fill="auto"/>
            <w:tcMar>
              <w:top w:w="0" w:type="dxa"/>
              <w:left w:w="108" w:type="dxa"/>
              <w:bottom w:w="0" w:type="dxa"/>
              <w:right w:w="108" w:type="dxa"/>
            </w:tcMar>
          </w:tcPr>
          <w:p w14:paraId="7C19704E"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15.3.2</w:t>
            </w:r>
          </w:p>
          <w:p w14:paraId="76F65C57" w14:textId="77777777" w:rsidR="00B16F23" w:rsidRPr="00205204" w:rsidRDefault="00B16F23" w:rsidP="00C608D6">
            <w:pPr>
              <w:rPr>
                <w:rFonts w:asciiTheme="minorHAnsi" w:hAnsiTheme="minorHAnsi" w:cstheme="minorHAnsi"/>
                <w:color w:val="000000"/>
              </w:rPr>
            </w:pPr>
            <w:r w:rsidRPr="00205204">
              <w:rPr>
                <w:rFonts w:asciiTheme="minorHAnsi" w:hAnsiTheme="minorHAnsi" w:cstheme="minorHAnsi"/>
              </w:rPr>
              <w:t xml:space="preserve">FHW/FHS are reporting their activities using mobiles/tablets </w:t>
            </w:r>
          </w:p>
        </w:tc>
        <w:tc>
          <w:tcPr>
            <w:tcW w:w="1460" w:type="pct"/>
            <w:shd w:val="clear" w:color="auto" w:fill="auto"/>
            <w:tcMar>
              <w:top w:w="0" w:type="dxa"/>
              <w:left w:w="108" w:type="dxa"/>
              <w:bottom w:w="0" w:type="dxa"/>
              <w:right w:w="108" w:type="dxa"/>
            </w:tcMar>
          </w:tcPr>
          <w:p w14:paraId="6441671F"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300 FHWs/FHSs report their activities on at least a fortnightly basis for the last one month using mobiles/tablets. </w:t>
            </w:r>
          </w:p>
          <w:p w14:paraId="3C1DF14B" w14:textId="77777777" w:rsidR="00B16F23" w:rsidRPr="00205204" w:rsidRDefault="00B16F23" w:rsidP="00C608D6">
            <w:pPr>
              <w:rPr>
                <w:rFonts w:asciiTheme="minorHAnsi" w:hAnsiTheme="minorHAnsi" w:cstheme="minorHAnsi"/>
              </w:rPr>
            </w:pPr>
            <w:r>
              <w:rPr>
                <w:rFonts w:asciiTheme="minorHAnsi" w:hAnsiTheme="minorHAnsi" w:cstheme="minorHAnsi"/>
              </w:rPr>
              <w:t xml:space="preserve">An additional </w:t>
            </w:r>
            <w:r w:rsidRPr="00205204">
              <w:rPr>
                <w:rFonts w:asciiTheme="minorHAnsi" w:hAnsiTheme="minorHAnsi" w:cstheme="minorHAnsi"/>
              </w:rPr>
              <w:t xml:space="preserve">300 FHWs/FHSs report their </w:t>
            </w:r>
            <w:r>
              <w:rPr>
                <w:rFonts w:asciiTheme="minorHAnsi" w:hAnsiTheme="minorHAnsi" w:cstheme="minorHAnsi"/>
              </w:rPr>
              <w:t xml:space="preserve">activities on a </w:t>
            </w:r>
            <w:r w:rsidRPr="00205204">
              <w:rPr>
                <w:rFonts w:asciiTheme="minorHAnsi" w:hAnsiTheme="minorHAnsi" w:cstheme="minorHAnsi"/>
              </w:rPr>
              <w:t>daily</w:t>
            </w:r>
            <w:r>
              <w:rPr>
                <w:rFonts w:asciiTheme="minorHAnsi" w:hAnsiTheme="minorHAnsi" w:cstheme="minorHAnsi"/>
              </w:rPr>
              <w:t xml:space="preserve"> basis </w:t>
            </w:r>
            <w:r w:rsidRPr="00205204">
              <w:rPr>
                <w:rFonts w:asciiTheme="minorHAnsi" w:hAnsiTheme="minorHAnsi" w:cstheme="minorHAnsi"/>
              </w:rPr>
              <w:t xml:space="preserve">using mobiles/tablets.  </w:t>
            </w:r>
          </w:p>
        </w:tc>
        <w:tc>
          <w:tcPr>
            <w:tcW w:w="591" w:type="pct"/>
            <w:shd w:val="clear" w:color="auto" w:fill="auto"/>
            <w:tcMar>
              <w:top w:w="0" w:type="dxa"/>
              <w:left w:w="108" w:type="dxa"/>
              <w:bottom w:w="0" w:type="dxa"/>
              <w:right w:w="108" w:type="dxa"/>
            </w:tcMar>
          </w:tcPr>
          <w:p w14:paraId="63BEACB3"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tcPr>
          <w:p w14:paraId="24F442CB"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MOH FGS</w:t>
            </w:r>
          </w:p>
        </w:tc>
        <w:tc>
          <w:tcPr>
            <w:tcW w:w="487" w:type="pct"/>
            <w:shd w:val="clear" w:color="auto" w:fill="auto"/>
            <w:tcMar>
              <w:top w:w="0" w:type="dxa"/>
              <w:left w:w="108" w:type="dxa"/>
              <w:bottom w:w="0" w:type="dxa"/>
              <w:right w:w="108" w:type="dxa"/>
            </w:tcMar>
          </w:tcPr>
          <w:p w14:paraId="49B33193"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w:t>
            </w:r>
          </w:p>
        </w:tc>
        <w:tc>
          <w:tcPr>
            <w:tcW w:w="657" w:type="pct"/>
            <w:shd w:val="clear" w:color="auto" w:fill="auto"/>
            <w:tcMar>
              <w:top w:w="0" w:type="dxa"/>
              <w:left w:w="108" w:type="dxa"/>
              <w:bottom w:w="0" w:type="dxa"/>
              <w:right w:w="108" w:type="dxa"/>
            </w:tcMar>
          </w:tcPr>
          <w:p w14:paraId="7A81A758"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 to obtain documentation and undertake assessment</w:t>
            </w:r>
          </w:p>
        </w:tc>
      </w:tr>
      <w:tr w:rsidR="00B16F23" w14:paraId="69A2137D" w14:textId="77777777" w:rsidTr="00C608D6">
        <w:trPr>
          <w:trHeight w:val="20"/>
        </w:trPr>
        <w:tc>
          <w:tcPr>
            <w:tcW w:w="971" w:type="pct"/>
            <w:shd w:val="clear" w:color="auto" w:fill="auto"/>
            <w:tcMar>
              <w:top w:w="0" w:type="dxa"/>
              <w:left w:w="108" w:type="dxa"/>
              <w:bottom w:w="0" w:type="dxa"/>
              <w:right w:w="108" w:type="dxa"/>
            </w:tcMar>
          </w:tcPr>
          <w:p w14:paraId="583E13C3"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15.3.3</w:t>
            </w:r>
          </w:p>
          <w:p w14:paraId="6088FFE5" w14:textId="77777777" w:rsidR="00B16F23" w:rsidRPr="00205204" w:rsidRDefault="00B16F23" w:rsidP="00C608D6">
            <w:pPr>
              <w:rPr>
                <w:rFonts w:asciiTheme="minorHAnsi" w:hAnsiTheme="minorHAnsi" w:cstheme="minorHAnsi"/>
                <w:color w:val="000000"/>
              </w:rPr>
            </w:pPr>
            <w:r w:rsidRPr="00205204">
              <w:rPr>
                <w:rFonts w:asciiTheme="minorHAnsi" w:hAnsiTheme="minorHAnsi" w:cstheme="minorHAnsi"/>
              </w:rPr>
              <w:t>MoH has reached out to at least 500 pregnant women using mobile phones</w:t>
            </w:r>
          </w:p>
        </w:tc>
        <w:tc>
          <w:tcPr>
            <w:tcW w:w="1460" w:type="pct"/>
            <w:shd w:val="clear" w:color="auto" w:fill="auto"/>
            <w:tcMar>
              <w:top w:w="0" w:type="dxa"/>
              <w:left w:w="108" w:type="dxa"/>
              <w:bottom w:w="0" w:type="dxa"/>
              <w:right w:w="108" w:type="dxa"/>
            </w:tcMar>
          </w:tcPr>
          <w:p w14:paraId="02CDEF27"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 xml:space="preserve">The register/voice records of mobile phone based calls made to a minimum of 500 pregnant women. </w:t>
            </w:r>
          </w:p>
        </w:tc>
        <w:tc>
          <w:tcPr>
            <w:tcW w:w="591" w:type="pct"/>
            <w:shd w:val="clear" w:color="auto" w:fill="auto"/>
            <w:tcMar>
              <w:top w:w="0" w:type="dxa"/>
              <w:left w:w="108" w:type="dxa"/>
              <w:bottom w:w="0" w:type="dxa"/>
              <w:right w:w="108" w:type="dxa"/>
            </w:tcMar>
          </w:tcPr>
          <w:p w14:paraId="315C616B"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tcPr>
          <w:p w14:paraId="40120CD5"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MOH FGS</w:t>
            </w:r>
          </w:p>
        </w:tc>
        <w:tc>
          <w:tcPr>
            <w:tcW w:w="487" w:type="pct"/>
            <w:shd w:val="clear" w:color="auto" w:fill="auto"/>
            <w:tcMar>
              <w:top w:w="0" w:type="dxa"/>
              <w:left w:w="108" w:type="dxa"/>
              <w:bottom w:w="0" w:type="dxa"/>
              <w:right w:w="108" w:type="dxa"/>
            </w:tcMar>
          </w:tcPr>
          <w:p w14:paraId="0F831263"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w:t>
            </w:r>
          </w:p>
        </w:tc>
        <w:tc>
          <w:tcPr>
            <w:tcW w:w="657" w:type="pct"/>
            <w:shd w:val="clear" w:color="auto" w:fill="auto"/>
            <w:tcMar>
              <w:top w:w="0" w:type="dxa"/>
              <w:left w:w="108" w:type="dxa"/>
              <w:bottom w:w="0" w:type="dxa"/>
              <w:right w:w="108" w:type="dxa"/>
            </w:tcMar>
          </w:tcPr>
          <w:p w14:paraId="32650CA0"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 to obtain documentation and undertake assessment</w:t>
            </w:r>
          </w:p>
        </w:tc>
      </w:tr>
      <w:tr w:rsidR="00B16F23" w14:paraId="217D3B97" w14:textId="77777777" w:rsidTr="00C608D6">
        <w:trPr>
          <w:trHeight w:val="20"/>
        </w:trPr>
        <w:tc>
          <w:tcPr>
            <w:tcW w:w="971" w:type="pct"/>
            <w:shd w:val="clear" w:color="auto" w:fill="auto"/>
            <w:tcMar>
              <w:top w:w="0" w:type="dxa"/>
              <w:left w:w="108" w:type="dxa"/>
              <w:bottom w:w="0" w:type="dxa"/>
              <w:right w:w="108" w:type="dxa"/>
            </w:tcMar>
          </w:tcPr>
          <w:p w14:paraId="09D2998D"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DLR 15.3.4</w:t>
            </w:r>
          </w:p>
          <w:p w14:paraId="6F59625A" w14:textId="77777777" w:rsidR="00B16F23" w:rsidRPr="00205204" w:rsidRDefault="00B16F23" w:rsidP="00C608D6">
            <w:pPr>
              <w:rPr>
                <w:rFonts w:asciiTheme="minorHAnsi" w:hAnsiTheme="minorHAnsi" w:cstheme="minorHAnsi"/>
                <w:color w:val="000000"/>
              </w:rPr>
            </w:pPr>
            <w:r w:rsidRPr="00205204">
              <w:rPr>
                <w:rFonts w:asciiTheme="minorHAnsi" w:hAnsiTheme="minorHAnsi" w:cstheme="minorHAnsi"/>
              </w:rPr>
              <w:t>MoH has</w:t>
            </w:r>
            <w:r>
              <w:rPr>
                <w:rFonts w:asciiTheme="minorHAnsi" w:hAnsiTheme="minorHAnsi" w:cstheme="minorHAnsi"/>
              </w:rPr>
              <w:t>: (a)</w:t>
            </w:r>
            <w:r w:rsidRPr="00205204">
              <w:rPr>
                <w:rFonts w:asciiTheme="minorHAnsi" w:hAnsiTheme="minorHAnsi" w:cstheme="minorHAnsi"/>
              </w:rPr>
              <w:t xml:space="preserve"> conducted a stocktaking exercise on the lessons learned from the roll-out of the ICT-based data gathering, beneficiary engagement and training of FHW</w:t>
            </w:r>
            <w:r>
              <w:rPr>
                <w:rFonts w:asciiTheme="minorHAnsi" w:hAnsiTheme="minorHAnsi" w:cstheme="minorHAnsi"/>
              </w:rPr>
              <w:t>/</w:t>
            </w:r>
            <w:r w:rsidRPr="00205204">
              <w:rPr>
                <w:rFonts w:asciiTheme="minorHAnsi" w:hAnsiTheme="minorHAnsi" w:cstheme="minorHAnsi"/>
              </w:rPr>
              <w:t>FHS</w:t>
            </w:r>
            <w:r>
              <w:rPr>
                <w:rFonts w:asciiTheme="minorHAnsi" w:hAnsiTheme="minorHAnsi" w:cstheme="minorHAnsi"/>
              </w:rPr>
              <w:t>;</w:t>
            </w:r>
            <w:r w:rsidRPr="00205204">
              <w:rPr>
                <w:rFonts w:asciiTheme="minorHAnsi" w:hAnsiTheme="minorHAnsi" w:cstheme="minorHAnsi"/>
              </w:rPr>
              <w:t xml:space="preserve"> and</w:t>
            </w:r>
            <w:r>
              <w:rPr>
                <w:rFonts w:asciiTheme="minorHAnsi" w:hAnsiTheme="minorHAnsi" w:cstheme="minorHAnsi"/>
              </w:rPr>
              <w:t xml:space="preserve"> (b)</w:t>
            </w:r>
            <w:r w:rsidRPr="00205204">
              <w:rPr>
                <w:rFonts w:asciiTheme="minorHAnsi" w:hAnsiTheme="minorHAnsi" w:cstheme="minorHAnsi"/>
              </w:rPr>
              <w:t xml:space="preserve"> approved an action plan for </w:t>
            </w:r>
            <w:r>
              <w:rPr>
                <w:rFonts w:asciiTheme="minorHAnsi" w:hAnsiTheme="minorHAnsi" w:cstheme="minorHAnsi"/>
              </w:rPr>
              <w:t xml:space="preserve">calendar </w:t>
            </w:r>
            <w:r>
              <w:rPr>
                <w:rFonts w:asciiTheme="minorHAnsi" w:hAnsiTheme="minorHAnsi" w:cstheme="minorHAnsi"/>
              </w:rPr>
              <w:lastRenderedPageBreak/>
              <w:t xml:space="preserve">year </w:t>
            </w:r>
            <w:r w:rsidRPr="00205204">
              <w:rPr>
                <w:rFonts w:asciiTheme="minorHAnsi" w:hAnsiTheme="minorHAnsi" w:cstheme="minorHAnsi"/>
              </w:rPr>
              <w:t>2022 to further strengthen and broaden the ICT-based data gathering, beneficiary engagement and training of FHW and FHS</w:t>
            </w:r>
          </w:p>
        </w:tc>
        <w:tc>
          <w:tcPr>
            <w:tcW w:w="1460" w:type="pct"/>
            <w:shd w:val="clear" w:color="auto" w:fill="auto"/>
            <w:tcMar>
              <w:top w:w="0" w:type="dxa"/>
              <w:left w:w="108" w:type="dxa"/>
              <w:bottom w:w="0" w:type="dxa"/>
              <w:right w:w="108" w:type="dxa"/>
            </w:tcMar>
          </w:tcPr>
          <w:p w14:paraId="531F165F"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lastRenderedPageBreak/>
              <w:t>A report stocktaking what worked and what did not, and an MoH approved action plan for 2022 based on the instructions issued as part of DLR 15.1 for further strengthening and broadening of the ICT based data gathering, beneficiary engagement, and training systems.</w:t>
            </w:r>
          </w:p>
        </w:tc>
        <w:tc>
          <w:tcPr>
            <w:tcW w:w="591" w:type="pct"/>
            <w:shd w:val="clear" w:color="auto" w:fill="auto"/>
            <w:tcMar>
              <w:top w:w="0" w:type="dxa"/>
              <w:left w:w="108" w:type="dxa"/>
              <w:bottom w:w="0" w:type="dxa"/>
              <w:right w:w="108" w:type="dxa"/>
            </w:tcMar>
          </w:tcPr>
          <w:p w14:paraId="6AAA2821"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No</w:t>
            </w:r>
          </w:p>
        </w:tc>
        <w:tc>
          <w:tcPr>
            <w:tcW w:w="834" w:type="pct"/>
            <w:shd w:val="clear" w:color="auto" w:fill="auto"/>
            <w:tcMar>
              <w:top w:w="0" w:type="dxa"/>
              <w:left w:w="108" w:type="dxa"/>
              <w:bottom w:w="0" w:type="dxa"/>
              <w:right w:w="108" w:type="dxa"/>
            </w:tcMar>
          </w:tcPr>
          <w:p w14:paraId="1CD2703A"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MOH FGS</w:t>
            </w:r>
          </w:p>
        </w:tc>
        <w:tc>
          <w:tcPr>
            <w:tcW w:w="487" w:type="pct"/>
            <w:shd w:val="clear" w:color="auto" w:fill="auto"/>
            <w:tcMar>
              <w:top w:w="0" w:type="dxa"/>
              <w:left w:w="108" w:type="dxa"/>
              <w:bottom w:w="0" w:type="dxa"/>
              <w:right w:w="108" w:type="dxa"/>
            </w:tcMar>
          </w:tcPr>
          <w:p w14:paraId="50282CAC"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w:t>
            </w:r>
          </w:p>
        </w:tc>
        <w:tc>
          <w:tcPr>
            <w:tcW w:w="657" w:type="pct"/>
            <w:shd w:val="clear" w:color="auto" w:fill="auto"/>
            <w:tcMar>
              <w:top w:w="0" w:type="dxa"/>
              <w:left w:w="108" w:type="dxa"/>
              <w:bottom w:w="0" w:type="dxa"/>
              <w:right w:w="108" w:type="dxa"/>
            </w:tcMar>
          </w:tcPr>
          <w:p w14:paraId="3046A6E4" w14:textId="77777777" w:rsidR="00B16F23" w:rsidRPr="00205204" w:rsidRDefault="00B16F23" w:rsidP="00C608D6">
            <w:pPr>
              <w:rPr>
                <w:rFonts w:asciiTheme="minorHAnsi" w:hAnsiTheme="minorHAnsi" w:cstheme="minorHAnsi"/>
              </w:rPr>
            </w:pPr>
            <w:r w:rsidRPr="00205204">
              <w:rPr>
                <w:rFonts w:asciiTheme="minorHAnsi" w:hAnsiTheme="minorHAnsi" w:cstheme="minorHAnsi"/>
              </w:rPr>
              <w:t>IVA to obtain documentation and undertake assessment</w:t>
            </w:r>
          </w:p>
        </w:tc>
      </w:tr>
    </w:tbl>
    <w:p w14:paraId="5C63E3A0" w14:textId="3EF156AC" w:rsidR="00044B78" w:rsidRDefault="00044B78" w:rsidP="00B16F23">
      <w:pPr>
        <w:tabs>
          <w:tab w:val="left" w:pos="2340"/>
        </w:tabs>
        <w:rPr>
          <w:sz w:val="22"/>
          <w:szCs w:val="22"/>
        </w:rPr>
      </w:pPr>
    </w:p>
    <w:p w14:paraId="0D2DF017" w14:textId="77777777" w:rsidR="00044B78" w:rsidRPr="00044B78" w:rsidRDefault="00044B78" w:rsidP="00044B78">
      <w:pPr>
        <w:rPr>
          <w:sz w:val="22"/>
          <w:szCs w:val="22"/>
        </w:rPr>
      </w:pPr>
    </w:p>
    <w:p w14:paraId="4B96C872" w14:textId="009D2968" w:rsidR="00044B78" w:rsidRDefault="00044B78" w:rsidP="00044B78">
      <w:pPr>
        <w:rPr>
          <w:sz w:val="22"/>
          <w:szCs w:val="22"/>
        </w:rPr>
      </w:pPr>
    </w:p>
    <w:p w14:paraId="5F3FC645" w14:textId="77777777" w:rsidR="00044B78" w:rsidRDefault="00044B78" w:rsidP="00044B78">
      <w:pPr>
        <w:ind w:firstLine="720"/>
        <w:rPr>
          <w:sz w:val="22"/>
          <w:szCs w:val="22"/>
        </w:rPr>
        <w:sectPr w:rsidR="00044B78" w:rsidSect="00C608D6">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gNumType w:fmt="lowerRoman"/>
          <w:cols w:space="720"/>
          <w:docGrid w:linePitch="286"/>
        </w:sectPr>
      </w:pPr>
    </w:p>
    <w:p w14:paraId="284A215F" w14:textId="340C8464" w:rsidR="00044B78" w:rsidRDefault="00044B78" w:rsidP="00044B78">
      <w:pPr>
        <w:ind w:firstLine="720"/>
        <w:rPr>
          <w:sz w:val="22"/>
          <w:szCs w:val="22"/>
        </w:rPr>
      </w:pPr>
    </w:p>
    <w:p w14:paraId="534ABBBE" w14:textId="0776EF82" w:rsidR="00044B78" w:rsidRDefault="00044B78" w:rsidP="00044B78">
      <w:pPr>
        <w:rPr>
          <w:sz w:val="22"/>
          <w:szCs w:val="22"/>
        </w:rPr>
      </w:pPr>
    </w:p>
    <w:tbl>
      <w:tblPr>
        <w:tblStyle w:val="TableGrid1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ook w:val="04A0" w:firstRow="1" w:lastRow="0" w:firstColumn="1" w:lastColumn="0" w:noHBand="0" w:noVBand="1"/>
      </w:tblPr>
      <w:tblGrid>
        <w:gridCol w:w="10080"/>
      </w:tblGrid>
      <w:tr w:rsidR="00B16F23" w14:paraId="1555F27E" w14:textId="77777777" w:rsidTr="00C608D6">
        <w:trPr>
          <w:trHeight w:val="117"/>
        </w:trPr>
        <w:tc>
          <w:tcPr>
            <w:tcW w:w="5000" w:type="pct"/>
            <w:shd w:val="clear" w:color="auto" w:fill="F7F7F7"/>
            <w:vAlign w:val="center"/>
          </w:tcPr>
          <w:p w14:paraId="7F204DCF" w14:textId="77777777" w:rsidR="00B16F23" w:rsidRPr="00955DC3" w:rsidRDefault="00B16F23" w:rsidP="00C608D6">
            <w:pPr>
              <w:pStyle w:val="NoSpacing"/>
              <w:widowControl w:val="0"/>
              <w:autoSpaceDE w:val="0"/>
              <w:autoSpaceDN w:val="0"/>
              <w:adjustRightInd w:val="0"/>
              <w:jc w:val="center"/>
              <w:outlineLvl w:val="0"/>
              <w:rPr>
                <w:rFonts w:cstheme="minorHAnsi"/>
                <w:b/>
                <w:bCs/>
                <w:sz w:val="22"/>
                <w:szCs w:val="22"/>
              </w:rPr>
            </w:pPr>
            <w:bookmarkStart w:id="15" w:name="_Toc256000071"/>
            <w:bookmarkStart w:id="16" w:name="_Toc256000035"/>
            <w:bookmarkStart w:id="17" w:name="_Toc505105147"/>
            <w:bookmarkStart w:id="18" w:name="_Toc10816498"/>
            <w:bookmarkStart w:id="19" w:name="_Toc38908311"/>
            <w:bookmarkStart w:id="20" w:name="_Toc57015232"/>
            <w:r w:rsidRPr="00955DC3">
              <w:rPr>
                <w:rFonts w:cstheme="minorHAnsi"/>
                <w:b/>
                <w:bCs/>
                <w:sz w:val="22"/>
                <w:szCs w:val="22"/>
              </w:rPr>
              <w:t>ANNEX 3: Verification Protocols</w:t>
            </w:r>
            <w:bookmarkEnd w:id="15"/>
            <w:bookmarkEnd w:id="16"/>
            <w:bookmarkEnd w:id="17"/>
            <w:bookmarkEnd w:id="18"/>
            <w:bookmarkEnd w:id="19"/>
            <w:bookmarkEnd w:id="20"/>
          </w:p>
        </w:tc>
      </w:tr>
      <w:tr w:rsidR="00B16F23" w14:paraId="661ADB5F" w14:textId="77777777" w:rsidTr="00C608D6">
        <w:trPr>
          <w:trHeight w:val="144"/>
        </w:trPr>
        <w:tc>
          <w:tcPr>
            <w:tcW w:w="5000" w:type="pct"/>
            <w:shd w:val="clear" w:color="auto" w:fill="F7F7F7"/>
            <w:vAlign w:val="center"/>
          </w:tcPr>
          <w:p w14:paraId="1D447BA8" w14:textId="77777777" w:rsidR="00B16F23" w:rsidRDefault="00B16F23" w:rsidP="00C608D6">
            <w:pPr>
              <w:pStyle w:val="NoSpacing"/>
              <w:widowControl w:val="0"/>
              <w:autoSpaceDE w:val="0"/>
              <w:autoSpaceDN w:val="0"/>
              <w:adjustRightInd w:val="0"/>
              <w:jc w:val="center"/>
              <w:outlineLvl w:val="0"/>
              <w:rPr>
                <w:rFonts w:cstheme="minorHAnsi"/>
                <w:b/>
                <w:bCs/>
                <w:sz w:val="22"/>
                <w:szCs w:val="22"/>
              </w:rPr>
            </w:pPr>
            <w:bookmarkStart w:id="21" w:name="_Toc57015233"/>
          </w:p>
          <w:p w14:paraId="67489221" w14:textId="28FA0BD1" w:rsidR="00B16F23" w:rsidRPr="00600938" w:rsidRDefault="00B16F23" w:rsidP="00044B78">
            <w:pPr>
              <w:pStyle w:val="NoSpacing"/>
              <w:widowControl w:val="0"/>
              <w:autoSpaceDE w:val="0"/>
              <w:autoSpaceDN w:val="0"/>
              <w:adjustRightInd w:val="0"/>
              <w:jc w:val="center"/>
              <w:outlineLvl w:val="0"/>
              <w:rPr>
                <w:rFonts w:cstheme="minorHAnsi"/>
                <w:b/>
                <w:bCs/>
                <w:color w:val="767171"/>
                <w:sz w:val="22"/>
                <w:szCs w:val="22"/>
              </w:rPr>
            </w:pPr>
            <w:r w:rsidRPr="001D2113">
              <w:rPr>
                <w:rFonts w:cstheme="minorHAnsi"/>
                <w:b/>
                <w:bCs/>
                <w:sz w:val="22"/>
                <w:szCs w:val="22"/>
              </w:rPr>
              <w:t>Federal Republic of Somalia</w:t>
            </w:r>
            <w:r>
              <w:rPr>
                <w:rFonts w:cstheme="minorHAnsi"/>
                <w:b/>
                <w:bCs/>
                <w:sz w:val="22"/>
                <w:szCs w:val="22"/>
              </w:rPr>
              <w:t>:</w:t>
            </w:r>
            <w:r w:rsidRPr="00605D42">
              <w:rPr>
                <w:rFonts w:cstheme="minorHAnsi"/>
                <w:b/>
                <w:bCs/>
                <w:sz w:val="22"/>
                <w:szCs w:val="22"/>
              </w:rPr>
              <w:t xml:space="preserve"> </w:t>
            </w:r>
            <w:r w:rsidRPr="001D2113">
              <w:rPr>
                <w:rFonts w:cstheme="minorHAnsi"/>
                <w:b/>
                <w:bCs/>
                <w:sz w:val="22"/>
                <w:szCs w:val="22"/>
              </w:rPr>
              <w:t xml:space="preserve">Somalia Recurrent Cost &amp; Reform Financing Project </w:t>
            </w:r>
            <w:bookmarkEnd w:id="21"/>
          </w:p>
        </w:tc>
      </w:tr>
    </w:tbl>
    <w:p w14:paraId="2F5EAE1E" w14:textId="77777777" w:rsidR="00B16F23" w:rsidRDefault="00B16F23" w:rsidP="00B16F23">
      <w:pPr>
        <w:rPr>
          <w:rFonts w:cstheme="minorHAnsi"/>
          <w:b/>
          <w:bCs/>
        </w:rPr>
      </w:pPr>
    </w:p>
    <w:p w14:paraId="5E4A903C" w14:textId="77777777" w:rsidR="00B16F23" w:rsidRPr="00E40A9E" w:rsidRDefault="00B16F23" w:rsidP="00B16F23">
      <w:pPr>
        <w:keepNext/>
        <w:shd w:val="clear" w:color="auto" w:fill="DBE5F1" w:themeFill="accent1" w:themeFillTint="33"/>
        <w:rPr>
          <w:rFonts w:cstheme="minorHAnsi"/>
          <w:b/>
          <w:bCs/>
          <w:sz w:val="22"/>
          <w:szCs w:val="22"/>
        </w:rPr>
      </w:pPr>
      <w:r w:rsidRPr="00E40A9E">
        <w:rPr>
          <w:rFonts w:cstheme="minorHAnsi"/>
          <w:b/>
          <w:bCs/>
          <w:sz w:val="22"/>
          <w:szCs w:val="22"/>
        </w:rPr>
        <w:t>DLI 8: Reforming civil service legislation</w:t>
      </w:r>
    </w:p>
    <w:p w14:paraId="6D8C37BE" w14:textId="77777777" w:rsidR="00B16F23" w:rsidRPr="00FE77F6" w:rsidRDefault="00B16F23" w:rsidP="00D974DB">
      <w:pPr>
        <w:pStyle w:val="ListParagraph"/>
        <w:numPr>
          <w:ilvl w:val="0"/>
          <w:numId w:val="5"/>
        </w:numPr>
        <w:spacing w:before="120" w:after="120"/>
        <w:ind w:left="0" w:firstLine="0"/>
        <w:contextualSpacing w:val="0"/>
        <w:jc w:val="both"/>
        <w:rPr>
          <w:rFonts w:cstheme="minorHAnsi"/>
          <w:b/>
          <w:bCs/>
          <w:sz w:val="22"/>
          <w:szCs w:val="22"/>
        </w:rPr>
      </w:pPr>
      <w:r>
        <w:rPr>
          <w:rFonts w:cstheme="minorHAnsi"/>
          <w:sz w:val="22"/>
          <w:szCs w:val="22"/>
        </w:rPr>
        <w:t>B</w:t>
      </w:r>
      <w:r w:rsidRPr="00FE77F6">
        <w:rPr>
          <w:rFonts w:cstheme="minorHAnsi"/>
          <w:sz w:val="22"/>
          <w:szCs w:val="22"/>
        </w:rPr>
        <w:t>y February 2021</w:t>
      </w:r>
      <w:r>
        <w:rPr>
          <w:rFonts w:cstheme="minorHAnsi"/>
          <w:sz w:val="22"/>
          <w:szCs w:val="22"/>
        </w:rPr>
        <w:t>,</w:t>
      </w:r>
      <w:r w:rsidRPr="00FE77F6">
        <w:rPr>
          <w:rFonts w:cstheme="minorHAnsi"/>
          <w:sz w:val="22"/>
          <w:szCs w:val="22"/>
        </w:rPr>
        <w:t xml:space="preserve"> </w:t>
      </w:r>
      <w:r>
        <w:rPr>
          <w:rFonts w:cstheme="minorHAnsi"/>
          <w:sz w:val="22"/>
          <w:szCs w:val="22"/>
        </w:rPr>
        <w:t>t</w:t>
      </w:r>
      <w:r w:rsidRPr="00FE77F6">
        <w:rPr>
          <w:rFonts w:cstheme="minorHAnsi"/>
          <w:sz w:val="22"/>
          <w:szCs w:val="22"/>
        </w:rPr>
        <w:t xml:space="preserve">he PIU will acquire the relevant set of regulations accompanied by documentation evidencing Cabinet </w:t>
      </w:r>
      <w:r>
        <w:rPr>
          <w:rFonts w:cstheme="minorHAnsi"/>
          <w:sz w:val="22"/>
          <w:szCs w:val="22"/>
        </w:rPr>
        <w:t>e</w:t>
      </w:r>
      <w:r w:rsidRPr="00FE77F6">
        <w:rPr>
          <w:rFonts w:cstheme="minorHAnsi"/>
          <w:sz w:val="22"/>
          <w:szCs w:val="22"/>
        </w:rPr>
        <w:t>ndorsement and will verify that the follow subject matters are addressed and that each set of regulations is complete</w:t>
      </w:r>
      <w:r>
        <w:rPr>
          <w:rFonts w:cstheme="minorHAnsi"/>
          <w:sz w:val="22"/>
          <w:szCs w:val="22"/>
        </w:rPr>
        <w:t xml:space="preserve"> and</w:t>
      </w:r>
      <w:r w:rsidRPr="00FE77F6">
        <w:rPr>
          <w:rFonts w:cstheme="minorHAnsi"/>
          <w:sz w:val="22"/>
          <w:szCs w:val="22"/>
        </w:rPr>
        <w:t xml:space="preserve"> consistent with the regulation topics enumerated </w:t>
      </w:r>
      <w:r>
        <w:rPr>
          <w:rFonts w:cstheme="minorHAnsi"/>
          <w:sz w:val="22"/>
          <w:szCs w:val="22"/>
        </w:rPr>
        <w:t>as follows</w:t>
      </w:r>
      <w:r w:rsidRPr="00FE77F6">
        <w:rPr>
          <w:rFonts w:cstheme="minorHAnsi"/>
          <w:sz w:val="22"/>
          <w:szCs w:val="22"/>
        </w:rPr>
        <w:t>:</w:t>
      </w:r>
    </w:p>
    <w:p w14:paraId="37436E15" w14:textId="77777777" w:rsidR="00B16F23" w:rsidRPr="00383F89" w:rsidRDefault="00B16F23" w:rsidP="00D974DB">
      <w:pPr>
        <w:pStyle w:val="ListParagraph"/>
        <w:numPr>
          <w:ilvl w:val="0"/>
          <w:numId w:val="7"/>
        </w:numPr>
        <w:spacing w:before="120" w:after="120"/>
        <w:ind w:left="1195" w:hanging="475"/>
        <w:contextualSpacing w:val="0"/>
        <w:rPr>
          <w:rFonts w:eastAsiaTheme="minorHAnsi" w:cstheme="minorHAnsi"/>
          <w:noProof/>
          <w:sz w:val="22"/>
          <w:szCs w:val="22"/>
        </w:rPr>
      </w:pPr>
      <w:r>
        <w:rPr>
          <w:rFonts w:eastAsiaTheme="minorHAnsi" w:cstheme="minorHAnsi"/>
          <w:noProof/>
          <w:sz w:val="22"/>
          <w:szCs w:val="22"/>
        </w:rPr>
        <w:t>Firs</w:t>
      </w:r>
      <w:r w:rsidRPr="00383F89">
        <w:rPr>
          <w:rFonts w:eastAsiaTheme="minorHAnsi" w:cstheme="minorHAnsi"/>
          <w:noProof/>
          <w:sz w:val="22"/>
          <w:szCs w:val="22"/>
        </w:rPr>
        <w:t>t set of regulations</w:t>
      </w:r>
    </w:p>
    <w:p w14:paraId="30E2F16C" w14:textId="77777777" w:rsidR="00B16F23" w:rsidRPr="001F2499" w:rsidRDefault="00B16F23" w:rsidP="00D974DB">
      <w:pPr>
        <w:pStyle w:val="ListParagraph"/>
        <w:numPr>
          <w:ilvl w:val="0"/>
          <w:numId w:val="14"/>
        </w:numPr>
        <w:spacing w:before="120" w:after="120"/>
        <w:ind w:left="1670" w:hanging="475"/>
        <w:contextualSpacing w:val="0"/>
        <w:jc w:val="both"/>
        <w:rPr>
          <w:rFonts w:cstheme="minorHAnsi"/>
          <w:sz w:val="22"/>
          <w:szCs w:val="22"/>
        </w:rPr>
      </w:pPr>
      <w:r w:rsidRPr="001F2499">
        <w:rPr>
          <w:rFonts w:cstheme="minorHAnsi"/>
          <w:sz w:val="22"/>
          <w:szCs w:val="22"/>
        </w:rPr>
        <w:t xml:space="preserve">Regulation # 1: Duties and Obligations of the Civil Servant </w:t>
      </w:r>
    </w:p>
    <w:p w14:paraId="0D549541" w14:textId="77777777" w:rsidR="00B16F23" w:rsidRPr="001F2499" w:rsidRDefault="00B16F23" w:rsidP="00D974DB">
      <w:pPr>
        <w:pStyle w:val="ListParagraph"/>
        <w:numPr>
          <w:ilvl w:val="0"/>
          <w:numId w:val="14"/>
        </w:numPr>
        <w:spacing w:before="120" w:after="120"/>
        <w:ind w:left="1670" w:hanging="475"/>
        <w:contextualSpacing w:val="0"/>
        <w:jc w:val="both"/>
        <w:rPr>
          <w:rFonts w:cstheme="minorHAnsi"/>
          <w:sz w:val="22"/>
          <w:szCs w:val="22"/>
        </w:rPr>
      </w:pPr>
      <w:r w:rsidRPr="001F2499">
        <w:rPr>
          <w:rFonts w:cstheme="minorHAnsi"/>
          <w:sz w:val="22"/>
          <w:szCs w:val="22"/>
        </w:rPr>
        <w:t>Regulation # 2: Civil Service Administration</w:t>
      </w:r>
    </w:p>
    <w:p w14:paraId="00EE8A00" w14:textId="77777777" w:rsidR="00B16F23" w:rsidRPr="001F2499" w:rsidRDefault="00B16F23" w:rsidP="00D974DB">
      <w:pPr>
        <w:pStyle w:val="ListParagraph"/>
        <w:numPr>
          <w:ilvl w:val="0"/>
          <w:numId w:val="14"/>
        </w:numPr>
        <w:spacing w:before="120" w:after="120"/>
        <w:ind w:left="1670" w:hanging="475"/>
        <w:contextualSpacing w:val="0"/>
        <w:jc w:val="both"/>
        <w:rPr>
          <w:rFonts w:cstheme="minorHAnsi"/>
          <w:sz w:val="22"/>
          <w:szCs w:val="22"/>
        </w:rPr>
      </w:pPr>
      <w:r w:rsidRPr="001F2499">
        <w:rPr>
          <w:rFonts w:cstheme="minorHAnsi"/>
          <w:sz w:val="22"/>
          <w:szCs w:val="22"/>
        </w:rPr>
        <w:t>Regulation # 3: Civil Service Registry and Human Resources Management Information System</w:t>
      </w:r>
    </w:p>
    <w:p w14:paraId="5A30DBFE" w14:textId="77777777" w:rsidR="00B16F23" w:rsidRPr="001F2499" w:rsidRDefault="00B16F23" w:rsidP="00D974DB">
      <w:pPr>
        <w:pStyle w:val="ListParagraph"/>
        <w:numPr>
          <w:ilvl w:val="0"/>
          <w:numId w:val="14"/>
        </w:numPr>
        <w:spacing w:before="120" w:after="120"/>
        <w:ind w:left="1670" w:hanging="475"/>
        <w:contextualSpacing w:val="0"/>
        <w:jc w:val="both"/>
        <w:rPr>
          <w:rFonts w:cstheme="minorHAnsi"/>
          <w:sz w:val="22"/>
          <w:szCs w:val="22"/>
        </w:rPr>
      </w:pPr>
      <w:r w:rsidRPr="001F2499">
        <w:rPr>
          <w:rFonts w:cstheme="minorHAnsi"/>
          <w:sz w:val="22"/>
          <w:szCs w:val="22"/>
        </w:rPr>
        <w:t>Regulation # 4: Job Description</w:t>
      </w:r>
    </w:p>
    <w:p w14:paraId="1F748FBF" w14:textId="77777777" w:rsidR="00B16F23" w:rsidRPr="001F2499" w:rsidRDefault="00B16F23" w:rsidP="00D974DB">
      <w:pPr>
        <w:pStyle w:val="ListParagraph"/>
        <w:numPr>
          <w:ilvl w:val="0"/>
          <w:numId w:val="14"/>
        </w:numPr>
        <w:spacing w:before="120" w:after="120"/>
        <w:ind w:left="1670" w:hanging="475"/>
        <w:contextualSpacing w:val="0"/>
        <w:jc w:val="both"/>
        <w:rPr>
          <w:rFonts w:cstheme="minorHAnsi"/>
          <w:sz w:val="22"/>
          <w:szCs w:val="22"/>
        </w:rPr>
      </w:pPr>
      <w:r w:rsidRPr="001F2499">
        <w:rPr>
          <w:rFonts w:cstheme="minorHAnsi"/>
          <w:sz w:val="22"/>
          <w:szCs w:val="22"/>
        </w:rPr>
        <w:t>Regulation # 5: HR Planning</w:t>
      </w:r>
    </w:p>
    <w:p w14:paraId="55BB439D" w14:textId="77777777" w:rsidR="00B16F23" w:rsidRPr="001F2499" w:rsidRDefault="00B16F23" w:rsidP="00D974DB">
      <w:pPr>
        <w:pStyle w:val="ListParagraph"/>
        <w:numPr>
          <w:ilvl w:val="0"/>
          <w:numId w:val="14"/>
        </w:numPr>
        <w:spacing w:before="120" w:after="120"/>
        <w:ind w:left="1670" w:hanging="475"/>
        <w:contextualSpacing w:val="0"/>
        <w:jc w:val="both"/>
        <w:rPr>
          <w:rFonts w:cstheme="minorHAnsi"/>
          <w:sz w:val="22"/>
          <w:szCs w:val="22"/>
        </w:rPr>
      </w:pPr>
      <w:r w:rsidRPr="001F2499">
        <w:rPr>
          <w:rFonts w:cstheme="minorHAnsi"/>
          <w:sz w:val="22"/>
          <w:szCs w:val="22"/>
        </w:rPr>
        <w:t>Regulation # 6: Recruitment</w:t>
      </w:r>
    </w:p>
    <w:p w14:paraId="0C1DC4D7" w14:textId="77777777" w:rsidR="00B16F23" w:rsidRPr="001F2499" w:rsidRDefault="00B16F23" w:rsidP="00D974DB">
      <w:pPr>
        <w:pStyle w:val="ListParagraph"/>
        <w:numPr>
          <w:ilvl w:val="0"/>
          <w:numId w:val="14"/>
        </w:numPr>
        <w:spacing w:before="120" w:after="120"/>
        <w:ind w:left="1670" w:hanging="475"/>
        <w:contextualSpacing w:val="0"/>
        <w:jc w:val="both"/>
        <w:rPr>
          <w:rFonts w:cstheme="minorHAnsi"/>
          <w:sz w:val="22"/>
          <w:szCs w:val="22"/>
        </w:rPr>
      </w:pPr>
      <w:r w:rsidRPr="001F2499">
        <w:rPr>
          <w:rFonts w:cstheme="minorHAnsi"/>
          <w:sz w:val="22"/>
          <w:szCs w:val="22"/>
        </w:rPr>
        <w:t>Regulation # 7: Employee Mobility and Management</w:t>
      </w:r>
    </w:p>
    <w:p w14:paraId="6D1527AC" w14:textId="77777777" w:rsidR="00B16F23" w:rsidRPr="001F2499" w:rsidRDefault="00B16F23" w:rsidP="00D974DB">
      <w:pPr>
        <w:pStyle w:val="ListParagraph"/>
        <w:numPr>
          <w:ilvl w:val="0"/>
          <w:numId w:val="14"/>
        </w:numPr>
        <w:spacing w:before="120" w:after="120"/>
        <w:ind w:left="1670" w:hanging="475"/>
        <w:contextualSpacing w:val="0"/>
        <w:jc w:val="both"/>
        <w:rPr>
          <w:rFonts w:cstheme="minorHAnsi"/>
          <w:sz w:val="22"/>
          <w:szCs w:val="22"/>
        </w:rPr>
      </w:pPr>
      <w:r w:rsidRPr="001F2499">
        <w:rPr>
          <w:rFonts w:cstheme="minorHAnsi"/>
          <w:sz w:val="22"/>
          <w:szCs w:val="22"/>
        </w:rPr>
        <w:t>Regulation # 8: Code of conduct for civil servants.</w:t>
      </w:r>
    </w:p>
    <w:p w14:paraId="5F9FDAD5" w14:textId="77777777" w:rsidR="00B16F23" w:rsidRPr="00FE77F6" w:rsidRDefault="00B16F23" w:rsidP="00D974DB">
      <w:pPr>
        <w:pStyle w:val="ListParagraph"/>
        <w:numPr>
          <w:ilvl w:val="0"/>
          <w:numId w:val="5"/>
        </w:numPr>
        <w:spacing w:before="120" w:after="120"/>
        <w:ind w:left="0" w:firstLine="0"/>
        <w:contextualSpacing w:val="0"/>
        <w:jc w:val="both"/>
        <w:rPr>
          <w:rFonts w:cstheme="minorHAnsi"/>
          <w:sz w:val="22"/>
          <w:szCs w:val="22"/>
        </w:rPr>
      </w:pPr>
      <w:r>
        <w:rPr>
          <w:rFonts w:cstheme="minorHAnsi"/>
          <w:sz w:val="22"/>
          <w:szCs w:val="22"/>
        </w:rPr>
        <w:t>B</w:t>
      </w:r>
      <w:r w:rsidRPr="00FE77F6">
        <w:rPr>
          <w:rFonts w:cstheme="minorHAnsi"/>
          <w:sz w:val="22"/>
          <w:szCs w:val="22"/>
        </w:rPr>
        <w:t>y April 2021</w:t>
      </w:r>
      <w:r>
        <w:rPr>
          <w:rFonts w:cstheme="minorHAnsi"/>
          <w:sz w:val="22"/>
          <w:szCs w:val="22"/>
        </w:rPr>
        <w:t>,</w:t>
      </w:r>
      <w:r w:rsidRPr="00FE77F6">
        <w:rPr>
          <w:rFonts w:cstheme="minorHAnsi"/>
          <w:sz w:val="22"/>
          <w:szCs w:val="22"/>
        </w:rPr>
        <w:t xml:space="preserve"> </w:t>
      </w:r>
      <w:r>
        <w:rPr>
          <w:rFonts w:cstheme="minorHAnsi"/>
          <w:sz w:val="22"/>
          <w:szCs w:val="22"/>
        </w:rPr>
        <w:t>t</w:t>
      </w:r>
      <w:r w:rsidRPr="00FE77F6">
        <w:rPr>
          <w:rFonts w:cstheme="minorHAnsi"/>
          <w:sz w:val="22"/>
          <w:szCs w:val="22"/>
        </w:rPr>
        <w:t xml:space="preserve">he PIU will acquire the relevant Parliament decision on enactment of the Civil Service Law and the </w:t>
      </w:r>
      <w:r>
        <w:rPr>
          <w:rFonts w:cstheme="minorHAnsi"/>
          <w:sz w:val="22"/>
          <w:szCs w:val="22"/>
        </w:rPr>
        <w:t xml:space="preserve">World </w:t>
      </w:r>
      <w:r w:rsidRPr="00FE77F6">
        <w:rPr>
          <w:rFonts w:cstheme="minorHAnsi"/>
          <w:sz w:val="22"/>
          <w:szCs w:val="22"/>
        </w:rPr>
        <w:t xml:space="preserve">Bank team </w:t>
      </w:r>
      <w:r>
        <w:rPr>
          <w:rFonts w:cstheme="minorHAnsi"/>
          <w:sz w:val="22"/>
          <w:szCs w:val="22"/>
        </w:rPr>
        <w:t xml:space="preserve">will </w:t>
      </w:r>
      <w:r w:rsidRPr="00FE77F6">
        <w:rPr>
          <w:rFonts w:cstheme="minorHAnsi"/>
          <w:sz w:val="22"/>
          <w:szCs w:val="22"/>
        </w:rPr>
        <w:t xml:space="preserve">verify that it addresses, </w:t>
      </w:r>
      <w:r>
        <w:rPr>
          <w:rFonts w:cstheme="minorHAnsi"/>
          <w:sz w:val="22"/>
          <w:szCs w:val="22"/>
        </w:rPr>
        <w:t>among others</w:t>
      </w:r>
      <w:r w:rsidRPr="00FE77F6">
        <w:rPr>
          <w:rFonts w:cstheme="minorHAnsi"/>
          <w:sz w:val="22"/>
          <w:szCs w:val="22"/>
        </w:rPr>
        <w:t>, the following topics: the establishment of common principles, consistent with the Constitution and principles of good governance and depoliticized</w:t>
      </w:r>
      <w:r>
        <w:rPr>
          <w:rFonts w:cstheme="minorHAnsi"/>
          <w:sz w:val="22"/>
          <w:szCs w:val="22"/>
        </w:rPr>
        <w:t>;</w:t>
      </w:r>
      <w:r w:rsidRPr="00FE77F6">
        <w:rPr>
          <w:rFonts w:cstheme="minorHAnsi"/>
          <w:sz w:val="22"/>
          <w:szCs w:val="22"/>
        </w:rPr>
        <w:t xml:space="preserve"> meritocratic HRM practices, terms, and conditions that define the work relationship between the FGS and its civil servants</w:t>
      </w:r>
      <w:r>
        <w:rPr>
          <w:rFonts w:cstheme="minorHAnsi"/>
          <w:sz w:val="22"/>
          <w:szCs w:val="22"/>
        </w:rPr>
        <w:t>;</w:t>
      </w:r>
      <w:r w:rsidRPr="00FE77F6">
        <w:rPr>
          <w:rFonts w:cstheme="minorHAnsi"/>
          <w:sz w:val="22"/>
          <w:szCs w:val="22"/>
        </w:rPr>
        <w:t xml:space="preserve"> </w:t>
      </w:r>
      <w:r>
        <w:rPr>
          <w:rFonts w:cstheme="minorHAnsi"/>
          <w:sz w:val="22"/>
          <w:szCs w:val="22"/>
        </w:rPr>
        <w:t>and</w:t>
      </w:r>
      <w:r w:rsidRPr="00FE77F6">
        <w:rPr>
          <w:rFonts w:cstheme="minorHAnsi"/>
          <w:sz w:val="22"/>
          <w:szCs w:val="22"/>
        </w:rPr>
        <w:t xml:space="preserve"> institutional arrangements designed while ensuring fiscal sustainability of the wage bill. </w:t>
      </w:r>
    </w:p>
    <w:p w14:paraId="129B0635" w14:textId="77777777" w:rsidR="00B16F23" w:rsidRPr="00FE77F6" w:rsidRDefault="00B16F23" w:rsidP="00D974DB">
      <w:pPr>
        <w:pStyle w:val="ListParagraph"/>
        <w:numPr>
          <w:ilvl w:val="0"/>
          <w:numId w:val="5"/>
        </w:numPr>
        <w:spacing w:before="120" w:after="120"/>
        <w:ind w:left="0" w:firstLine="0"/>
        <w:contextualSpacing w:val="0"/>
        <w:jc w:val="both"/>
        <w:rPr>
          <w:rFonts w:cstheme="minorHAnsi"/>
          <w:b/>
          <w:bCs/>
          <w:sz w:val="22"/>
          <w:szCs w:val="22"/>
        </w:rPr>
      </w:pPr>
      <w:r>
        <w:rPr>
          <w:rFonts w:cstheme="minorHAnsi"/>
          <w:sz w:val="22"/>
          <w:szCs w:val="22"/>
        </w:rPr>
        <w:t>B</w:t>
      </w:r>
      <w:r w:rsidRPr="00FE77F6">
        <w:rPr>
          <w:rFonts w:cstheme="minorHAnsi"/>
          <w:sz w:val="22"/>
          <w:szCs w:val="22"/>
        </w:rPr>
        <w:t>y April 2021</w:t>
      </w:r>
      <w:r>
        <w:rPr>
          <w:rFonts w:cstheme="minorHAnsi"/>
          <w:sz w:val="22"/>
          <w:szCs w:val="22"/>
        </w:rPr>
        <w:t>,</w:t>
      </w:r>
      <w:r w:rsidRPr="00FE77F6">
        <w:rPr>
          <w:rFonts w:cstheme="minorHAnsi"/>
          <w:sz w:val="22"/>
          <w:szCs w:val="22"/>
        </w:rPr>
        <w:t xml:space="preserve"> </w:t>
      </w:r>
      <w:r>
        <w:rPr>
          <w:rFonts w:cstheme="minorHAnsi"/>
          <w:sz w:val="22"/>
          <w:szCs w:val="22"/>
        </w:rPr>
        <w:t>t</w:t>
      </w:r>
      <w:r w:rsidRPr="00FE77F6">
        <w:rPr>
          <w:rFonts w:cstheme="minorHAnsi"/>
          <w:sz w:val="22"/>
          <w:szCs w:val="22"/>
        </w:rPr>
        <w:t xml:space="preserve">he PIU will acquire the relevant set of regulations accompanied by documentation evidencing Cabinet </w:t>
      </w:r>
      <w:r>
        <w:rPr>
          <w:rFonts w:cstheme="minorHAnsi"/>
          <w:sz w:val="22"/>
          <w:szCs w:val="22"/>
        </w:rPr>
        <w:t>e</w:t>
      </w:r>
      <w:r w:rsidRPr="00FE77F6">
        <w:rPr>
          <w:rFonts w:cstheme="minorHAnsi"/>
          <w:sz w:val="22"/>
          <w:szCs w:val="22"/>
        </w:rPr>
        <w:t>ndorsement and will verify that the follow</w:t>
      </w:r>
      <w:r>
        <w:rPr>
          <w:rFonts w:cstheme="minorHAnsi"/>
          <w:sz w:val="22"/>
          <w:szCs w:val="22"/>
        </w:rPr>
        <w:t>ing</w:t>
      </w:r>
      <w:r w:rsidRPr="00FE77F6">
        <w:rPr>
          <w:rFonts w:cstheme="minorHAnsi"/>
          <w:sz w:val="22"/>
          <w:szCs w:val="22"/>
        </w:rPr>
        <w:t xml:space="preserve"> subject matters are addressed and that each set of regulations is complete, consistent with the regulation topics enumerated </w:t>
      </w:r>
      <w:r>
        <w:rPr>
          <w:rFonts w:cstheme="minorHAnsi"/>
          <w:sz w:val="22"/>
          <w:szCs w:val="22"/>
        </w:rPr>
        <w:t>as follows</w:t>
      </w:r>
      <w:r w:rsidRPr="00FE77F6">
        <w:rPr>
          <w:rFonts w:cstheme="minorHAnsi"/>
          <w:sz w:val="22"/>
          <w:szCs w:val="22"/>
        </w:rPr>
        <w:t>:</w:t>
      </w:r>
    </w:p>
    <w:p w14:paraId="6049D726" w14:textId="77777777" w:rsidR="00B16F23" w:rsidRPr="00FE77F6" w:rsidRDefault="00B16F23" w:rsidP="00D974DB">
      <w:pPr>
        <w:pStyle w:val="ListParagraph"/>
        <w:numPr>
          <w:ilvl w:val="0"/>
          <w:numId w:val="7"/>
        </w:numPr>
        <w:spacing w:before="120" w:after="120"/>
        <w:ind w:left="1195" w:hanging="475"/>
        <w:contextualSpacing w:val="0"/>
        <w:rPr>
          <w:rFonts w:cstheme="minorHAnsi"/>
          <w:sz w:val="22"/>
          <w:szCs w:val="22"/>
        </w:rPr>
      </w:pPr>
      <w:r>
        <w:rPr>
          <w:rFonts w:cstheme="minorHAnsi"/>
          <w:sz w:val="22"/>
          <w:szCs w:val="22"/>
        </w:rPr>
        <w:t>Seco</w:t>
      </w:r>
      <w:r w:rsidRPr="00FE77F6">
        <w:rPr>
          <w:rFonts w:cstheme="minorHAnsi"/>
          <w:sz w:val="22"/>
          <w:szCs w:val="22"/>
        </w:rPr>
        <w:t>nd set of regulations</w:t>
      </w:r>
    </w:p>
    <w:p w14:paraId="0BCFB9FB" w14:textId="77777777" w:rsidR="00B16F23" w:rsidRPr="00FE77F6" w:rsidRDefault="00B16F23" w:rsidP="00D974DB">
      <w:pPr>
        <w:pStyle w:val="ListParagraph"/>
        <w:numPr>
          <w:ilvl w:val="0"/>
          <w:numId w:val="14"/>
        </w:numPr>
        <w:spacing w:before="120" w:after="120"/>
        <w:ind w:left="1670" w:hanging="475"/>
        <w:contextualSpacing w:val="0"/>
        <w:jc w:val="both"/>
        <w:rPr>
          <w:rFonts w:cstheme="minorHAnsi"/>
          <w:sz w:val="22"/>
          <w:szCs w:val="22"/>
        </w:rPr>
      </w:pPr>
      <w:r w:rsidRPr="00FE77F6">
        <w:rPr>
          <w:rFonts w:cstheme="minorHAnsi"/>
          <w:sz w:val="22"/>
          <w:szCs w:val="22"/>
        </w:rPr>
        <w:t>Regulation # 9: Leave and Travel</w:t>
      </w:r>
    </w:p>
    <w:p w14:paraId="3B1E783F" w14:textId="77777777" w:rsidR="00B16F23" w:rsidRPr="00FE77F6" w:rsidRDefault="00B16F23" w:rsidP="00D974DB">
      <w:pPr>
        <w:pStyle w:val="ListParagraph"/>
        <w:numPr>
          <w:ilvl w:val="0"/>
          <w:numId w:val="14"/>
        </w:numPr>
        <w:spacing w:before="120" w:after="120"/>
        <w:ind w:left="1670" w:hanging="475"/>
        <w:contextualSpacing w:val="0"/>
        <w:jc w:val="both"/>
        <w:rPr>
          <w:rFonts w:cstheme="minorHAnsi"/>
          <w:sz w:val="22"/>
          <w:szCs w:val="22"/>
        </w:rPr>
      </w:pPr>
      <w:r w:rsidRPr="00FE77F6">
        <w:rPr>
          <w:rFonts w:cstheme="minorHAnsi"/>
          <w:sz w:val="22"/>
          <w:szCs w:val="22"/>
        </w:rPr>
        <w:t>Regulation # 10: Performance Evaluation of civil servants and senior managers</w:t>
      </w:r>
    </w:p>
    <w:p w14:paraId="1AF7ED38" w14:textId="77777777" w:rsidR="00B16F23" w:rsidRPr="00FE77F6" w:rsidRDefault="00B16F23" w:rsidP="00D974DB">
      <w:pPr>
        <w:pStyle w:val="ListParagraph"/>
        <w:numPr>
          <w:ilvl w:val="0"/>
          <w:numId w:val="14"/>
        </w:numPr>
        <w:spacing w:before="120" w:after="120"/>
        <w:ind w:left="1670" w:hanging="475"/>
        <w:contextualSpacing w:val="0"/>
        <w:jc w:val="both"/>
        <w:rPr>
          <w:rFonts w:cstheme="minorHAnsi"/>
          <w:sz w:val="22"/>
          <w:szCs w:val="22"/>
        </w:rPr>
      </w:pPr>
      <w:r w:rsidRPr="00FE77F6">
        <w:rPr>
          <w:rFonts w:cstheme="minorHAnsi"/>
          <w:sz w:val="22"/>
          <w:szCs w:val="22"/>
        </w:rPr>
        <w:t>Regulation # 11: Promotion</w:t>
      </w:r>
    </w:p>
    <w:p w14:paraId="34543923" w14:textId="77777777" w:rsidR="00B16F23" w:rsidRPr="00FE77F6" w:rsidRDefault="00B16F23" w:rsidP="00D974DB">
      <w:pPr>
        <w:pStyle w:val="ListParagraph"/>
        <w:numPr>
          <w:ilvl w:val="0"/>
          <w:numId w:val="14"/>
        </w:numPr>
        <w:spacing w:before="120" w:after="120"/>
        <w:ind w:left="1670" w:hanging="475"/>
        <w:contextualSpacing w:val="0"/>
        <w:jc w:val="both"/>
        <w:rPr>
          <w:rFonts w:cstheme="minorHAnsi"/>
          <w:sz w:val="22"/>
          <w:szCs w:val="22"/>
        </w:rPr>
      </w:pPr>
      <w:r w:rsidRPr="00FE77F6">
        <w:rPr>
          <w:rFonts w:cstheme="minorHAnsi"/>
          <w:sz w:val="22"/>
          <w:szCs w:val="22"/>
        </w:rPr>
        <w:t>Regulation # 12: Discipline</w:t>
      </w:r>
    </w:p>
    <w:p w14:paraId="1E20CB9C" w14:textId="77777777" w:rsidR="00B16F23" w:rsidRPr="00FE77F6" w:rsidRDefault="00B16F23" w:rsidP="00D974DB">
      <w:pPr>
        <w:pStyle w:val="ListParagraph"/>
        <w:numPr>
          <w:ilvl w:val="0"/>
          <w:numId w:val="14"/>
        </w:numPr>
        <w:spacing w:before="120" w:after="120"/>
        <w:ind w:left="1670" w:hanging="475"/>
        <w:contextualSpacing w:val="0"/>
        <w:jc w:val="both"/>
        <w:rPr>
          <w:rFonts w:cstheme="minorHAnsi"/>
          <w:sz w:val="22"/>
          <w:szCs w:val="22"/>
        </w:rPr>
      </w:pPr>
      <w:r w:rsidRPr="00FE77F6">
        <w:rPr>
          <w:rFonts w:cstheme="minorHAnsi"/>
          <w:sz w:val="22"/>
          <w:szCs w:val="22"/>
        </w:rPr>
        <w:t>Regulation # 13: Grievances and Appeals Management</w:t>
      </w:r>
    </w:p>
    <w:p w14:paraId="6B2FD59E" w14:textId="77777777" w:rsidR="00B16F23" w:rsidRPr="00FE77F6" w:rsidRDefault="00B16F23" w:rsidP="00D974DB">
      <w:pPr>
        <w:pStyle w:val="ListParagraph"/>
        <w:numPr>
          <w:ilvl w:val="0"/>
          <w:numId w:val="14"/>
        </w:numPr>
        <w:spacing w:before="120" w:after="120"/>
        <w:ind w:left="1670" w:hanging="475"/>
        <w:contextualSpacing w:val="0"/>
        <w:jc w:val="both"/>
        <w:rPr>
          <w:rFonts w:cstheme="minorHAnsi"/>
          <w:sz w:val="22"/>
          <w:szCs w:val="22"/>
        </w:rPr>
      </w:pPr>
      <w:r w:rsidRPr="00FE77F6">
        <w:rPr>
          <w:rFonts w:cstheme="minorHAnsi"/>
          <w:sz w:val="22"/>
          <w:szCs w:val="22"/>
        </w:rPr>
        <w:t xml:space="preserve">Regulation # 14: Capacity development </w:t>
      </w:r>
      <w:r>
        <w:rPr>
          <w:rFonts w:cstheme="minorHAnsi"/>
          <w:sz w:val="22"/>
          <w:szCs w:val="22"/>
        </w:rPr>
        <w:t>and</w:t>
      </w:r>
      <w:r w:rsidRPr="00FE77F6">
        <w:rPr>
          <w:rFonts w:cstheme="minorHAnsi"/>
          <w:sz w:val="22"/>
          <w:szCs w:val="22"/>
        </w:rPr>
        <w:t xml:space="preserve"> Training of the civil service employee</w:t>
      </w:r>
    </w:p>
    <w:p w14:paraId="25230636" w14:textId="77777777" w:rsidR="00B16F23" w:rsidRPr="00FE77F6" w:rsidRDefault="00B16F23" w:rsidP="00D974DB">
      <w:pPr>
        <w:pStyle w:val="ListParagraph"/>
        <w:numPr>
          <w:ilvl w:val="0"/>
          <w:numId w:val="14"/>
        </w:numPr>
        <w:spacing w:before="120" w:after="120"/>
        <w:ind w:left="1670" w:hanging="475"/>
        <w:contextualSpacing w:val="0"/>
        <w:jc w:val="both"/>
        <w:rPr>
          <w:rFonts w:cstheme="minorHAnsi"/>
          <w:sz w:val="22"/>
          <w:szCs w:val="22"/>
        </w:rPr>
      </w:pPr>
      <w:r w:rsidRPr="00FE77F6">
        <w:rPr>
          <w:rFonts w:cstheme="minorHAnsi"/>
          <w:sz w:val="22"/>
          <w:szCs w:val="22"/>
        </w:rPr>
        <w:t>Regulation # 15: Separation from Civil Service.</w:t>
      </w:r>
    </w:p>
    <w:p w14:paraId="4BB20A2D" w14:textId="77777777" w:rsidR="00B16F23" w:rsidRPr="00FE77F6" w:rsidRDefault="00B16F23" w:rsidP="00D974DB">
      <w:pPr>
        <w:pStyle w:val="ListParagraph"/>
        <w:numPr>
          <w:ilvl w:val="0"/>
          <w:numId w:val="5"/>
        </w:numPr>
        <w:spacing w:before="120" w:after="120"/>
        <w:ind w:left="0" w:firstLine="0"/>
        <w:contextualSpacing w:val="0"/>
        <w:jc w:val="both"/>
        <w:rPr>
          <w:rFonts w:cstheme="minorHAnsi"/>
          <w:noProof/>
          <w:sz w:val="22"/>
          <w:szCs w:val="22"/>
        </w:rPr>
      </w:pPr>
      <w:r>
        <w:rPr>
          <w:rFonts w:cstheme="minorHAnsi"/>
          <w:sz w:val="22"/>
          <w:szCs w:val="22"/>
        </w:rPr>
        <w:t>B</w:t>
      </w:r>
      <w:r w:rsidRPr="00FE77F6">
        <w:rPr>
          <w:rFonts w:cstheme="minorHAnsi"/>
          <w:sz w:val="22"/>
          <w:szCs w:val="22"/>
        </w:rPr>
        <w:t>y December 2021</w:t>
      </w:r>
      <w:r>
        <w:rPr>
          <w:rFonts w:cstheme="minorHAnsi"/>
          <w:sz w:val="22"/>
          <w:szCs w:val="22"/>
        </w:rPr>
        <w:t>,</w:t>
      </w:r>
      <w:r w:rsidRPr="00FE77F6">
        <w:rPr>
          <w:rFonts w:cstheme="minorHAnsi"/>
          <w:sz w:val="22"/>
          <w:szCs w:val="22"/>
        </w:rPr>
        <w:t xml:space="preserve"> </w:t>
      </w:r>
      <w:r>
        <w:rPr>
          <w:rFonts w:cstheme="minorHAnsi"/>
          <w:sz w:val="22"/>
          <w:szCs w:val="22"/>
        </w:rPr>
        <w:t>t</w:t>
      </w:r>
      <w:r w:rsidRPr="00FE77F6">
        <w:rPr>
          <w:rFonts w:cstheme="minorHAnsi"/>
          <w:sz w:val="22"/>
          <w:szCs w:val="22"/>
        </w:rPr>
        <w:t>he IVA will acquire the Cabinet</w:t>
      </w:r>
      <w:r>
        <w:rPr>
          <w:rFonts w:cstheme="minorHAnsi"/>
          <w:sz w:val="22"/>
          <w:szCs w:val="22"/>
        </w:rPr>
        <w:t>-</w:t>
      </w:r>
      <w:r w:rsidRPr="00FE77F6">
        <w:rPr>
          <w:rFonts w:cstheme="minorHAnsi"/>
          <w:sz w:val="22"/>
          <w:szCs w:val="22"/>
        </w:rPr>
        <w:t xml:space="preserve">endorsed </w:t>
      </w:r>
      <w:r w:rsidRPr="00F5313B">
        <w:rPr>
          <w:rFonts w:cstheme="minorHAnsi"/>
          <w:sz w:val="22"/>
          <w:szCs w:val="22"/>
        </w:rPr>
        <w:t>Organizational Ordinance</w:t>
      </w:r>
      <w:r w:rsidRPr="00FE77F6">
        <w:rPr>
          <w:rFonts w:cstheme="minorHAnsi"/>
          <w:sz w:val="22"/>
          <w:szCs w:val="22"/>
        </w:rPr>
        <w:t xml:space="preserve"> and verify that it addresses, </w:t>
      </w:r>
      <w:r>
        <w:rPr>
          <w:rFonts w:cstheme="minorHAnsi"/>
          <w:sz w:val="22"/>
          <w:szCs w:val="22"/>
        </w:rPr>
        <w:t>among others</w:t>
      </w:r>
      <w:r w:rsidRPr="00FE77F6">
        <w:rPr>
          <w:rFonts w:cstheme="minorHAnsi"/>
          <w:sz w:val="22"/>
          <w:szCs w:val="22"/>
        </w:rPr>
        <w:t>, the following topics:</w:t>
      </w:r>
      <w:r w:rsidRPr="00FE77F6">
        <w:rPr>
          <w:rFonts w:cstheme="minorHAnsi"/>
          <w:noProof/>
          <w:sz w:val="22"/>
          <w:szCs w:val="22"/>
        </w:rPr>
        <w:t xml:space="preserve"> clarity on mandates, vision, mission, functions, accountabilities, structures, staff complement, and </w:t>
      </w:r>
      <w:r w:rsidRPr="00FE77F6">
        <w:rPr>
          <w:rFonts w:cstheme="minorHAnsi"/>
          <w:sz w:val="22"/>
          <w:szCs w:val="22"/>
        </w:rPr>
        <w:t>establishment</w:t>
      </w:r>
      <w:r w:rsidRPr="00FE77F6">
        <w:rPr>
          <w:rFonts w:cstheme="minorHAnsi"/>
          <w:noProof/>
          <w:sz w:val="22"/>
          <w:szCs w:val="22"/>
        </w:rPr>
        <w:t xml:space="preserve"> ceilings for all MDAs.</w:t>
      </w:r>
      <w:r>
        <w:rPr>
          <w:rFonts w:cstheme="minorHAnsi"/>
          <w:noProof/>
          <w:sz w:val="22"/>
          <w:szCs w:val="22"/>
        </w:rPr>
        <w:t xml:space="preserve"> </w:t>
      </w:r>
    </w:p>
    <w:p w14:paraId="083D41E8" w14:textId="77777777" w:rsidR="00B16F23" w:rsidRPr="00FE77F6" w:rsidRDefault="00B16F23" w:rsidP="00D974DB">
      <w:pPr>
        <w:pStyle w:val="ListParagraph"/>
        <w:numPr>
          <w:ilvl w:val="0"/>
          <w:numId w:val="5"/>
        </w:numPr>
        <w:spacing w:after="240"/>
        <w:ind w:left="0" w:firstLine="0"/>
        <w:contextualSpacing w:val="0"/>
        <w:jc w:val="both"/>
        <w:rPr>
          <w:rFonts w:cstheme="minorHAnsi"/>
          <w:sz w:val="22"/>
          <w:szCs w:val="22"/>
        </w:rPr>
      </w:pPr>
      <w:r>
        <w:rPr>
          <w:rFonts w:cstheme="minorHAnsi"/>
          <w:sz w:val="22"/>
          <w:szCs w:val="22"/>
        </w:rPr>
        <w:lastRenderedPageBreak/>
        <w:t>B</w:t>
      </w:r>
      <w:r w:rsidRPr="00FE77F6">
        <w:rPr>
          <w:rFonts w:cstheme="minorHAnsi"/>
          <w:sz w:val="22"/>
          <w:szCs w:val="22"/>
        </w:rPr>
        <w:t>y December 2021</w:t>
      </w:r>
      <w:r>
        <w:rPr>
          <w:rFonts w:cstheme="minorHAnsi"/>
          <w:sz w:val="22"/>
          <w:szCs w:val="22"/>
        </w:rPr>
        <w:t>,</w:t>
      </w:r>
      <w:r w:rsidRPr="00FE77F6">
        <w:rPr>
          <w:rFonts w:cstheme="minorHAnsi"/>
          <w:sz w:val="22"/>
          <w:szCs w:val="22"/>
        </w:rPr>
        <w:t xml:space="preserve"> </w:t>
      </w:r>
      <w:r>
        <w:rPr>
          <w:rFonts w:cstheme="minorHAnsi"/>
          <w:sz w:val="22"/>
          <w:szCs w:val="22"/>
        </w:rPr>
        <w:t>t</w:t>
      </w:r>
      <w:r w:rsidRPr="00FE77F6">
        <w:rPr>
          <w:rFonts w:cstheme="minorHAnsi"/>
          <w:sz w:val="22"/>
          <w:szCs w:val="22"/>
        </w:rPr>
        <w:t xml:space="preserve">he IVA will acquire </w:t>
      </w:r>
      <w:r>
        <w:rPr>
          <w:rFonts w:cstheme="minorHAnsi"/>
          <w:sz w:val="22"/>
          <w:szCs w:val="22"/>
        </w:rPr>
        <w:t>two quarterly reports on the</w:t>
      </w:r>
      <w:r w:rsidRPr="00FE77F6">
        <w:rPr>
          <w:rFonts w:cstheme="minorHAnsi"/>
          <w:sz w:val="22"/>
          <w:szCs w:val="22"/>
        </w:rPr>
        <w:t xml:space="preserve"> implementation of the </w:t>
      </w:r>
      <w:r>
        <w:rPr>
          <w:rFonts w:cstheme="minorHAnsi"/>
          <w:sz w:val="22"/>
          <w:szCs w:val="22"/>
        </w:rPr>
        <w:t>C</w:t>
      </w:r>
      <w:r w:rsidRPr="00FE77F6">
        <w:rPr>
          <w:rFonts w:cstheme="minorHAnsi"/>
          <w:sz w:val="22"/>
          <w:szCs w:val="22"/>
        </w:rPr>
        <w:t xml:space="preserve">ivil </w:t>
      </w:r>
      <w:r>
        <w:rPr>
          <w:rFonts w:cstheme="minorHAnsi"/>
          <w:sz w:val="22"/>
          <w:szCs w:val="22"/>
        </w:rPr>
        <w:t>S</w:t>
      </w:r>
      <w:r w:rsidRPr="00FE77F6">
        <w:rPr>
          <w:rFonts w:cstheme="minorHAnsi"/>
          <w:sz w:val="22"/>
          <w:szCs w:val="22"/>
        </w:rPr>
        <w:t xml:space="preserve">ervice </w:t>
      </w:r>
      <w:r>
        <w:rPr>
          <w:rFonts w:cstheme="minorHAnsi"/>
          <w:sz w:val="22"/>
          <w:szCs w:val="22"/>
        </w:rPr>
        <w:t>L</w:t>
      </w:r>
      <w:r w:rsidRPr="00FE77F6">
        <w:rPr>
          <w:rFonts w:cstheme="minorHAnsi"/>
          <w:sz w:val="22"/>
          <w:szCs w:val="22"/>
        </w:rPr>
        <w:t xml:space="preserve">aw and </w:t>
      </w:r>
      <w:r>
        <w:rPr>
          <w:rFonts w:cstheme="minorHAnsi"/>
          <w:sz w:val="22"/>
          <w:szCs w:val="22"/>
        </w:rPr>
        <w:t>its administrative</w:t>
      </w:r>
      <w:r w:rsidRPr="00FE77F6">
        <w:rPr>
          <w:rFonts w:cstheme="minorHAnsi"/>
          <w:sz w:val="22"/>
          <w:szCs w:val="22"/>
        </w:rPr>
        <w:t xml:space="preserve"> regulations that </w:t>
      </w:r>
      <w:r>
        <w:rPr>
          <w:rFonts w:cstheme="minorHAnsi"/>
          <w:sz w:val="22"/>
          <w:szCs w:val="22"/>
        </w:rPr>
        <w:t xml:space="preserve">will </w:t>
      </w:r>
      <w:r w:rsidRPr="00FE77F6">
        <w:rPr>
          <w:rFonts w:cstheme="minorHAnsi"/>
          <w:sz w:val="22"/>
          <w:szCs w:val="22"/>
        </w:rPr>
        <w:t>include</w:t>
      </w:r>
      <w:r>
        <w:rPr>
          <w:rFonts w:cstheme="minorHAnsi"/>
          <w:sz w:val="22"/>
          <w:szCs w:val="22"/>
        </w:rPr>
        <w:t xml:space="preserve"> the following</w:t>
      </w:r>
      <w:r w:rsidRPr="00FE77F6">
        <w:rPr>
          <w:rFonts w:cstheme="minorHAnsi"/>
          <w:sz w:val="22"/>
          <w:szCs w:val="22"/>
        </w:rPr>
        <w:t>:</w:t>
      </w:r>
    </w:p>
    <w:p w14:paraId="311627CA" w14:textId="77777777" w:rsidR="00B16F23" w:rsidRPr="004B0E09" w:rsidRDefault="00B16F23" w:rsidP="00D974DB">
      <w:pPr>
        <w:pStyle w:val="ListParagraph"/>
        <w:numPr>
          <w:ilvl w:val="1"/>
          <w:numId w:val="8"/>
        </w:numPr>
        <w:spacing w:after="240"/>
        <w:ind w:left="1195" w:hanging="475"/>
        <w:contextualSpacing w:val="0"/>
        <w:jc w:val="both"/>
        <w:rPr>
          <w:rFonts w:cstheme="minorHAnsi"/>
          <w:sz w:val="22"/>
          <w:szCs w:val="22"/>
        </w:rPr>
      </w:pPr>
      <w:r w:rsidRPr="0018258E">
        <w:rPr>
          <w:rFonts w:cstheme="minorHAnsi"/>
          <w:b/>
          <w:bCs/>
          <w:sz w:val="22"/>
          <w:szCs w:val="22"/>
        </w:rPr>
        <w:t>Sensitization of civil servants on HRM regulations and procedures.</w:t>
      </w:r>
      <w:r>
        <w:rPr>
          <w:rFonts w:cstheme="minorHAnsi"/>
          <w:sz w:val="22"/>
          <w:szCs w:val="22"/>
        </w:rPr>
        <w:t xml:space="preserve"> Report on the sensitization activities.</w:t>
      </w:r>
    </w:p>
    <w:p w14:paraId="3A01474D" w14:textId="77777777" w:rsidR="00B16F23" w:rsidRPr="00FE77F6" w:rsidRDefault="00B16F23" w:rsidP="00D974DB">
      <w:pPr>
        <w:pStyle w:val="ListParagraph"/>
        <w:numPr>
          <w:ilvl w:val="1"/>
          <w:numId w:val="8"/>
        </w:numPr>
        <w:spacing w:after="240"/>
        <w:ind w:left="1195" w:hanging="475"/>
        <w:contextualSpacing w:val="0"/>
        <w:jc w:val="both"/>
        <w:rPr>
          <w:rFonts w:cstheme="minorHAnsi"/>
          <w:sz w:val="22"/>
          <w:szCs w:val="22"/>
        </w:rPr>
      </w:pPr>
      <w:r w:rsidRPr="00931A85">
        <w:rPr>
          <w:rFonts w:cstheme="minorHAnsi"/>
          <w:b/>
          <w:bCs/>
          <w:sz w:val="22"/>
          <w:szCs w:val="22"/>
        </w:rPr>
        <w:t>Competitive recruitment and selection</w:t>
      </w:r>
      <w:r>
        <w:rPr>
          <w:rFonts w:cstheme="minorHAnsi"/>
          <w:b/>
          <w:bCs/>
          <w:sz w:val="22"/>
          <w:szCs w:val="22"/>
        </w:rPr>
        <w:t>.</w:t>
      </w:r>
      <w:r w:rsidRPr="00FE77F6">
        <w:rPr>
          <w:rFonts w:cstheme="minorHAnsi"/>
          <w:sz w:val="22"/>
          <w:szCs w:val="22"/>
        </w:rPr>
        <w:t xml:space="preserve"> Number and </w:t>
      </w:r>
      <w:r>
        <w:rPr>
          <w:rFonts w:cstheme="minorHAnsi"/>
          <w:sz w:val="22"/>
          <w:szCs w:val="22"/>
        </w:rPr>
        <w:t>percentage</w:t>
      </w:r>
      <w:r w:rsidRPr="00FE77F6">
        <w:rPr>
          <w:rFonts w:cstheme="minorHAnsi"/>
          <w:sz w:val="22"/>
          <w:szCs w:val="22"/>
        </w:rPr>
        <w:t xml:space="preserve"> of civil service recruitment and selections accomplished </w:t>
      </w:r>
      <w:r>
        <w:rPr>
          <w:rFonts w:cstheme="minorHAnsi"/>
          <w:sz w:val="22"/>
          <w:szCs w:val="22"/>
        </w:rPr>
        <w:t>through</w:t>
      </w:r>
      <w:r w:rsidRPr="00FE77F6">
        <w:rPr>
          <w:rFonts w:cstheme="minorHAnsi"/>
          <w:sz w:val="22"/>
          <w:szCs w:val="22"/>
        </w:rPr>
        <w:t xml:space="preserve"> competitive procedures. </w:t>
      </w:r>
    </w:p>
    <w:p w14:paraId="5E19236C" w14:textId="77777777" w:rsidR="00B16F23" w:rsidRPr="00FE77F6" w:rsidRDefault="00B16F23" w:rsidP="00D974DB">
      <w:pPr>
        <w:pStyle w:val="ListParagraph"/>
        <w:numPr>
          <w:ilvl w:val="1"/>
          <w:numId w:val="8"/>
        </w:numPr>
        <w:spacing w:after="240"/>
        <w:ind w:left="1195" w:hanging="475"/>
        <w:contextualSpacing w:val="0"/>
        <w:jc w:val="both"/>
        <w:rPr>
          <w:rFonts w:cstheme="minorHAnsi"/>
          <w:sz w:val="22"/>
          <w:szCs w:val="22"/>
        </w:rPr>
      </w:pPr>
      <w:r w:rsidRPr="00931A85">
        <w:rPr>
          <w:rFonts w:cstheme="minorHAnsi"/>
          <w:b/>
          <w:bCs/>
          <w:sz w:val="22"/>
          <w:szCs w:val="22"/>
        </w:rPr>
        <w:t>Attraction of needed skill sets</w:t>
      </w:r>
      <w:r>
        <w:rPr>
          <w:rFonts w:cstheme="minorHAnsi"/>
          <w:b/>
          <w:bCs/>
          <w:sz w:val="22"/>
          <w:szCs w:val="22"/>
        </w:rPr>
        <w:t>.</w:t>
      </w:r>
      <w:r w:rsidRPr="00FE77F6">
        <w:rPr>
          <w:rFonts w:cstheme="minorHAnsi"/>
          <w:sz w:val="22"/>
          <w:szCs w:val="22"/>
        </w:rPr>
        <w:t xml:space="preserve"> Average number of qualified (</w:t>
      </w:r>
      <w:r>
        <w:rPr>
          <w:rFonts w:cstheme="minorHAnsi"/>
          <w:sz w:val="22"/>
          <w:szCs w:val="22"/>
        </w:rPr>
        <w:t>that is</w:t>
      </w:r>
      <w:r w:rsidRPr="00FE77F6">
        <w:rPr>
          <w:rFonts w:cstheme="minorHAnsi"/>
          <w:sz w:val="22"/>
          <w:szCs w:val="22"/>
        </w:rPr>
        <w:t>, long-listed) candidates per advertised vacancy within the civil service, by job family.</w:t>
      </w:r>
      <w:r>
        <w:rPr>
          <w:rFonts w:cstheme="minorHAnsi"/>
          <w:sz w:val="22"/>
          <w:szCs w:val="22"/>
        </w:rPr>
        <w:t xml:space="preserve"> </w:t>
      </w:r>
      <w:r w:rsidRPr="00FE77F6">
        <w:rPr>
          <w:rFonts w:cstheme="minorHAnsi"/>
          <w:sz w:val="22"/>
          <w:szCs w:val="22"/>
        </w:rPr>
        <w:t xml:space="preserve">These should get better over time. </w:t>
      </w:r>
    </w:p>
    <w:p w14:paraId="0570C6E5" w14:textId="77777777" w:rsidR="00B16F23" w:rsidRPr="00FE77F6" w:rsidRDefault="00B16F23" w:rsidP="00D974DB">
      <w:pPr>
        <w:pStyle w:val="ListParagraph"/>
        <w:numPr>
          <w:ilvl w:val="1"/>
          <w:numId w:val="8"/>
        </w:numPr>
        <w:spacing w:after="240"/>
        <w:ind w:left="1195" w:hanging="475"/>
        <w:contextualSpacing w:val="0"/>
        <w:jc w:val="both"/>
        <w:rPr>
          <w:rFonts w:cstheme="minorHAnsi"/>
          <w:sz w:val="22"/>
          <w:szCs w:val="22"/>
        </w:rPr>
      </w:pPr>
      <w:r w:rsidRPr="00931A85">
        <w:rPr>
          <w:rFonts w:cstheme="minorHAnsi"/>
          <w:b/>
          <w:bCs/>
          <w:sz w:val="22"/>
          <w:szCs w:val="22"/>
        </w:rPr>
        <w:t>Retention of needed skill sets.</w:t>
      </w:r>
      <w:r w:rsidRPr="00FE77F6">
        <w:rPr>
          <w:rFonts w:cstheme="minorHAnsi"/>
          <w:b/>
          <w:bCs/>
          <w:i/>
          <w:iCs/>
          <w:sz w:val="22"/>
          <w:szCs w:val="22"/>
        </w:rPr>
        <w:t xml:space="preserve"> </w:t>
      </w:r>
      <w:r w:rsidRPr="00FE77F6">
        <w:rPr>
          <w:rFonts w:cstheme="minorHAnsi"/>
          <w:sz w:val="22"/>
          <w:szCs w:val="22"/>
        </w:rPr>
        <w:t xml:space="preserve">Average annual retention rates for recent recruits (within the last </w:t>
      </w:r>
      <w:r>
        <w:rPr>
          <w:rFonts w:cstheme="minorHAnsi"/>
          <w:sz w:val="22"/>
          <w:szCs w:val="22"/>
        </w:rPr>
        <w:t>three</w:t>
      </w:r>
      <w:r w:rsidRPr="00FE77F6">
        <w:rPr>
          <w:rFonts w:cstheme="minorHAnsi"/>
          <w:sz w:val="22"/>
          <w:szCs w:val="22"/>
        </w:rPr>
        <w:t xml:space="preserve"> years) within the civil service, by job family.</w:t>
      </w:r>
    </w:p>
    <w:p w14:paraId="528AFECE" w14:textId="77777777" w:rsidR="00B16F23" w:rsidRPr="00FE77F6" w:rsidRDefault="00B16F23" w:rsidP="00D974DB">
      <w:pPr>
        <w:pStyle w:val="ListParagraph"/>
        <w:numPr>
          <w:ilvl w:val="1"/>
          <w:numId w:val="8"/>
        </w:numPr>
        <w:spacing w:after="240"/>
        <w:ind w:left="1195" w:hanging="475"/>
        <w:contextualSpacing w:val="0"/>
        <w:jc w:val="both"/>
        <w:rPr>
          <w:rFonts w:cstheme="minorHAnsi"/>
          <w:sz w:val="22"/>
          <w:szCs w:val="22"/>
        </w:rPr>
      </w:pPr>
      <w:r w:rsidRPr="00931A85">
        <w:rPr>
          <w:rFonts w:cstheme="minorHAnsi"/>
          <w:b/>
          <w:bCs/>
          <w:sz w:val="22"/>
          <w:szCs w:val="22"/>
        </w:rPr>
        <w:t>Depoliticized HRM practices</w:t>
      </w:r>
      <w:r>
        <w:rPr>
          <w:rFonts w:cstheme="minorHAnsi"/>
          <w:b/>
          <w:bCs/>
          <w:sz w:val="22"/>
          <w:szCs w:val="22"/>
        </w:rPr>
        <w:t>.</w:t>
      </w:r>
      <w:r w:rsidRPr="00FE77F6">
        <w:rPr>
          <w:rFonts w:cstheme="minorHAnsi"/>
          <w:sz w:val="22"/>
          <w:szCs w:val="22"/>
        </w:rPr>
        <w:t xml:space="preserve"> Quarterly turnover rates of civil servants</w:t>
      </w:r>
      <w:r>
        <w:rPr>
          <w:rFonts w:cstheme="minorHAnsi"/>
          <w:sz w:val="22"/>
          <w:szCs w:val="22"/>
        </w:rPr>
        <w:t>.</w:t>
      </w:r>
    </w:p>
    <w:p w14:paraId="395E06D8" w14:textId="77777777" w:rsidR="00B16F23" w:rsidRPr="00931A85" w:rsidRDefault="00B16F23" w:rsidP="00D974DB">
      <w:pPr>
        <w:pStyle w:val="ListParagraph"/>
        <w:numPr>
          <w:ilvl w:val="1"/>
          <w:numId w:val="8"/>
        </w:numPr>
        <w:spacing w:after="240"/>
        <w:ind w:left="1195" w:hanging="475"/>
        <w:contextualSpacing w:val="0"/>
        <w:jc w:val="both"/>
        <w:rPr>
          <w:rFonts w:cstheme="minorHAnsi"/>
          <w:sz w:val="22"/>
          <w:szCs w:val="22"/>
        </w:rPr>
      </w:pPr>
      <w:r w:rsidRPr="00931A85">
        <w:rPr>
          <w:rFonts w:cstheme="minorHAnsi"/>
          <w:b/>
          <w:bCs/>
          <w:sz w:val="22"/>
          <w:szCs w:val="22"/>
        </w:rPr>
        <w:t xml:space="preserve">Performance-focusing HRM practices: </w:t>
      </w:r>
    </w:p>
    <w:p w14:paraId="6739566C" w14:textId="77777777" w:rsidR="00B16F23" w:rsidRPr="00FE77F6" w:rsidRDefault="00B16F23" w:rsidP="00D974DB">
      <w:pPr>
        <w:pStyle w:val="ListParagraph"/>
        <w:numPr>
          <w:ilvl w:val="2"/>
          <w:numId w:val="9"/>
        </w:numPr>
        <w:spacing w:after="240"/>
        <w:ind w:left="1670" w:hanging="475"/>
        <w:contextualSpacing w:val="0"/>
        <w:jc w:val="both"/>
        <w:rPr>
          <w:rFonts w:cstheme="minorHAnsi"/>
          <w:sz w:val="22"/>
          <w:szCs w:val="22"/>
        </w:rPr>
      </w:pPr>
      <w:r w:rsidRPr="00FE77F6">
        <w:rPr>
          <w:rFonts w:cstheme="minorHAnsi"/>
          <w:sz w:val="22"/>
          <w:szCs w:val="22"/>
        </w:rPr>
        <w:t>Percentage of civil servants receiving a formal annual performance appraisal (minimum 75</w:t>
      </w:r>
      <w:r>
        <w:rPr>
          <w:rFonts w:cstheme="minorHAnsi"/>
          <w:sz w:val="22"/>
          <w:szCs w:val="22"/>
        </w:rPr>
        <w:t xml:space="preserve"> percent</w:t>
      </w:r>
      <w:r w:rsidRPr="00FE77F6">
        <w:rPr>
          <w:rFonts w:cstheme="minorHAnsi"/>
          <w:sz w:val="22"/>
          <w:szCs w:val="22"/>
        </w:rPr>
        <w:t>)</w:t>
      </w:r>
    </w:p>
    <w:p w14:paraId="1DB551CA" w14:textId="77777777" w:rsidR="00B16F23" w:rsidRPr="00FE77F6" w:rsidRDefault="00B16F23" w:rsidP="00D974DB">
      <w:pPr>
        <w:pStyle w:val="ListParagraph"/>
        <w:numPr>
          <w:ilvl w:val="2"/>
          <w:numId w:val="9"/>
        </w:numPr>
        <w:spacing w:after="240"/>
        <w:ind w:left="1670" w:hanging="475"/>
        <w:contextualSpacing w:val="0"/>
        <w:jc w:val="both"/>
        <w:rPr>
          <w:rFonts w:cstheme="minorHAnsi"/>
          <w:sz w:val="22"/>
          <w:szCs w:val="22"/>
        </w:rPr>
      </w:pPr>
      <w:r w:rsidRPr="00FE77F6">
        <w:rPr>
          <w:rFonts w:cstheme="minorHAnsi"/>
          <w:sz w:val="22"/>
          <w:szCs w:val="22"/>
        </w:rPr>
        <w:t>Percentage of civil servants who exhibit a pattern of repeated, unexcused absences who are subject to formal disciplinary actions (</w:t>
      </w:r>
      <w:r>
        <w:rPr>
          <w:rFonts w:cstheme="minorHAnsi"/>
          <w:sz w:val="22"/>
          <w:szCs w:val="22"/>
        </w:rPr>
        <w:t>for example</w:t>
      </w:r>
      <w:r w:rsidRPr="00FE77F6">
        <w:rPr>
          <w:rFonts w:cstheme="minorHAnsi"/>
          <w:sz w:val="22"/>
          <w:szCs w:val="22"/>
        </w:rPr>
        <w:t xml:space="preserve">, pay is docked, temporary suspension, </w:t>
      </w:r>
      <w:r>
        <w:rPr>
          <w:rFonts w:cstheme="minorHAnsi"/>
          <w:sz w:val="22"/>
          <w:szCs w:val="22"/>
        </w:rPr>
        <w:t xml:space="preserve">and </w:t>
      </w:r>
      <w:r w:rsidRPr="00FE77F6">
        <w:rPr>
          <w:rFonts w:cstheme="minorHAnsi"/>
          <w:sz w:val="22"/>
          <w:szCs w:val="22"/>
        </w:rPr>
        <w:t>dismissal)</w:t>
      </w:r>
    </w:p>
    <w:p w14:paraId="500F8314" w14:textId="77777777" w:rsidR="00B16F23" w:rsidRPr="00FE77F6" w:rsidRDefault="00B16F23" w:rsidP="00D974DB">
      <w:pPr>
        <w:pStyle w:val="ListParagraph"/>
        <w:numPr>
          <w:ilvl w:val="2"/>
          <w:numId w:val="9"/>
        </w:numPr>
        <w:spacing w:after="240"/>
        <w:ind w:left="1670" w:hanging="475"/>
        <w:contextualSpacing w:val="0"/>
        <w:jc w:val="both"/>
        <w:rPr>
          <w:rFonts w:cstheme="minorHAnsi"/>
          <w:sz w:val="22"/>
          <w:szCs w:val="22"/>
        </w:rPr>
      </w:pPr>
      <w:r>
        <w:rPr>
          <w:rFonts w:cstheme="minorHAnsi"/>
          <w:sz w:val="22"/>
          <w:szCs w:val="22"/>
        </w:rPr>
        <w:t>Percentage</w:t>
      </w:r>
      <w:r w:rsidRPr="00FE77F6">
        <w:rPr>
          <w:rFonts w:cstheme="minorHAnsi"/>
          <w:sz w:val="22"/>
          <w:szCs w:val="22"/>
        </w:rPr>
        <w:t xml:space="preserve"> of pension-age civil servants yet to be retired (maximum 5</w:t>
      </w:r>
      <w:r>
        <w:rPr>
          <w:rFonts w:cstheme="minorHAnsi"/>
          <w:sz w:val="22"/>
          <w:szCs w:val="22"/>
        </w:rPr>
        <w:t xml:space="preserve"> percent</w:t>
      </w:r>
      <w:r w:rsidRPr="00FE77F6">
        <w:rPr>
          <w:rFonts w:cstheme="minorHAnsi"/>
          <w:sz w:val="22"/>
          <w:szCs w:val="22"/>
        </w:rPr>
        <w:t>)</w:t>
      </w:r>
      <w:r>
        <w:rPr>
          <w:rFonts w:cstheme="minorHAnsi"/>
          <w:sz w:val="22"/>
          <w:szCs w:val="22"/>
        </w:rPr>
        <w:t>.</w:t>
      </w:r>
    </w:p>
    <w:p w14:paraId="7E248827" w14:textId="77777777" w:rsidR="00B16F23" w:rsidRPr="00FE77F6" w:rsidRDefault="00B16F23" w:rsidP="00D974DB">
      <w:pPr>
        <w:pStyle w:val="ListParagraph"/>
        <w:numPr>
          <w:ilvl w:val="0"/>
          <w:numId w:val="5"/>
        </w:numPr>
        <w:spacing w:after="240"/>
        <w:ind w:left="0" w:firstLine="0"/>
        <w:contextualSpacing w:val="0"/>
        <w:jc w:val="both"/>
        <w:rPr>
          <w:rFonts w:cstheme="minorHAnsi"/>
          <w:sz w:val="22"/>
          <w:szCs w:val="22"/>
        </w:rPr>
      </w:pPr>
      <w:r w:rsidRPr="00FE77F6">
        <w:rPr>
          <w:rFonts w:cstheme="minorHAnsi"/>
          <w:sz w:val="22"/>
          <w:szCs w:val="22"/>
        </w:rPr>
        <w:t>The implementation details not mentioned here</w:t>
      </w:r>
      <w:r>
        <w:rPr>
          <w:rFonts w:cstheme="minorHAnsi"/>
          <w:sz w:val="22"/>
          <w:szCs w:val="22"/>
        </w:rPr>
        <w:t xml:space="preserve"> </w:t>
      </w:r>
      <w:r w:rsidRPr="00FE77F6">
        <w:rPr>
          <w:rFonts w:cstheme="minorHAnsi"/>
          <w:sz w:val="22"/>
          <w:szCs w:val="22"/>
        </w:rPr>
        <w:t>will be agreed and reflected in the POM.</w:t>
      </w:r>
      <w:r>
        <w:rPr>
          <w:rFonts w:cstheme="minorHAnsi"/>
          <w:sz w:val="22"/>
          <w:szCs w:val="22"/>
        </w:rPr>
        <w:t xml:space="preserve"> </w:t>
      </w:r>
    </w:p>
    <w:p w14:paraId="5A8843F7" w14:textId="77777777" w:rsidR="00B16F23" w:rsidRPr="00FE77F6" w:rsidRDefault="00B16F23" w:rsidP="00B16F23">
      <w:pPr>
        <w:keepNext/>
        <w:shd w:val="clear" w:color="auto" w:fill="DBE5F1" w:themeFill="accent1" w:themeFillTint="33"/>
        <w:rPr>
          <w:rFonts w:cstheme="minorHAnsi"/>
          <w:b/>
          <w:bCs/>
          <w:sz w:val="22"/>
          <w:szCs w:val="22"/>
        </w:rPr>
      </w:pPr>
      <w:r w:rsidRPr="00FE77F6">
        <w:rPr>
          <w:rFonts w:cstheme="minorHAnsi"/>
          <w:b/>
          <w:bCs/>
          <w:sz w:val="22"/>
          <w:szCs w:val="22"/>
        </w:rPr>
        <w:t>DLI 9: Monitoring staff attendance with biometrics</w:t>
      </w:r>
      <w:r>
        <w:rPr>
          <w:rFonts w:cstheme="minorHAnsi"/>
          <w:b/>
          <w:bCs/>
          <w:sz w:val="22"/>
          <w:szCs w:val="22"/>
        </w:rPr>
        <w:t xml:space="preserve"> </w:t>
      </w:r>
    </w:p>
    <w:p w14:paraId="38A4480D" w14:textId="77777777" w:rsidR="00B16F23" w:rsidRPr="00FE77F6" w:rsidRDefault="00B16F23" w:rsidP="00D974DB">
      <w:pPr>
        <w:pStyle w:val="ListParagraph"/>
        <w:numPr>
          <w:ilvl w:val="0"/>
          <w:numId w:val="5"/>
        </w:numPr>
        <w:spacing w:before="240" w:after="240"/>
        <w:ind w:left="0" w:firstLine="0"/>
        <w:contextualSpacing w:val="0"/>
        <w:jc w:val="both"/>
        <w:rPr>
          <w:rFonts w:cstheme="minorHAnsi"/>
          <w:sz w:val="22"/>
          <w:szCs w:val="22"/>
        </w:rPr>
      </w:pPr>
      <w:r w:rsidRPr="00FE77F6">
        <w:rPr>
          <w:rFonts w:cstheme="minorHAnsi"/>
          <w:sz w:val="22"/>
          <w:szCs w:val="22"/>
        </w:rPr>
        <w:t>By April 2021</w:t>
      </w:r>
      <w:r>
        <w:rPr>
          <w:rFonts w:cstheme="minorHAnsi"/>
          <w:sz w:val="22"/>
          <w:szCs w:val="22"/>
        </w:rPr>
        <w:t>,</w:t>
      </w:r>
      <w:r w:rsidRPr="00FE77F6">
        <w:rPr>
          <w:rFonts w:cstheme="minorHAnsi"/>
          <w:sz w:val="22"/>
          <w:szCs w:val="22"/>
        </w:rPr>
        <w:t xml:space="preserve"> </w:t>
      </w:r>
      <w:r>
        <w:rPr>
          <w:rFonts w:cstheme="minorHAnsi"/>
          <w:sz w:val="22"/>
          <w:szCs w:val="22"/>
        </w:rPr>
        <w:t>t</w:t>
      </w:r>
      <w:r w:rsidRPr="00FE77F6">
        <w:rPr>
          <w:rFonts w:cstheme="minorHAnsi"/>
          <w:sz w:val="22"/>
          <w:szCs w:val="22"/>
        </w:rPr>
        <w:t xml:space="preserve">he IVA will verify implementation of the biometric system in at least </w:t>
      </w:r>
      <w:r>
        <w:rPr>
          <w:rFonts w:cstheme="minorHAnsi"/>
          <w:sz w:val="22"/>
          <w:szCs w:val="22"/>
        </w:rPr>
        <w:t>one</w:t>
      </w:r>
      <w:r w:rsidRPr="00FE77F6">
        <w:rPr>
          <w:rFonts w:cstheme="minorHAnsi"/>
          <w:sz w:val="22"/>
          <w:szCs w:val="22"/>
        </w:rPr>
        <w:t xml:space="preserve"> non-security FGS ministries by collecting evidence that at least 90</w:t>
      </w:r>
      <w:r w:rsidRPr="00E40A9E">
        <w:rPr>
          <w:rFonts w:cstheme="minorHAnsi"/>
          <w:sz w:val="22"/>
          <w:szCs w:val="22"/>
        </w:rPr>
        <w:t xml:space="preserve"> </w:t>
      </w:r>
      <w:r>
        <w:rPr>
          <w:rFonts w:cstheme="minorHAnsi"/>
          <w:sz w:val="22"/>
          <w:szCs w:val="22"/>
        </w:rPr>
        <w:t>percent</w:t>
      </w:r>
      <w:r w:rsidRPr="00FE77F6">
        <w:rPr>
          <w:rFonts w:cstheme="minorHAnsi"/>
          <w:sz w:val="22"/>
          <w:szCs w:val="22"/>
        </w:rPr>
        <w:t xml:space="preserve"> of staff record their attendance using the biometric system at least 15 working days of the month</w:t>
      </w:r>
      <w:r>
        <w:rPr>
          <w:rFonts w:cstheme="minorHAnsi"/>
          <w:sz w:val="22"/>
          <w:szCs w:val="22"/>
        </w:rPr>
        <w:t xml:space="preserve"> for each staff.</w:t>
      </w:r>
      <w:r>
        <w:rPr>
          <w:rFonts w:cstheme="minorHAnsi"/>
          <w:noProof/>
          <w:sz w:val="22"/>
          <w:szCs w:val="22"/>
        </w:rPr>
        <w:t xml:space="preserve"> </w:t>
      </w:r>
      <w:r w:rsidRPr="00FE77F6">
        <w:rPr>
          <w:rFonts w:cstheme="minorHAnsi"/>
          <w:sz w:val="22"/>
          <w:szCs w:val="22"/>
        </w:rPr>
        <w:t xml:space="preserve">Staff on authorized leave, duly certified, will be deemed to have marked their attendance. </w:t>
      </w:r>
    </w:p>
    <w:p w14:paraId="116CF517" w14:textId="77777777" w:rsidR="00B16F23" w:rsidRPr="00FE77F6" w:rsidRDefault="00B16F23" w:rsidP="00D974DB">
      <w:pPr>
        <w:pStyle w:val="ListParagraph"/>
        <w:numPr>
          <w:ilvl w:val="0"/>
          <w:numId w:val="5"/>
        </w:numPr>
        <w:spacing w:after="240"/>
        <w:ind w:left="0" w:firstLine="0"/>
        <w:contextualSpacing w:val="0"/>
        <w:jc w:val="both"/>
        <w:rPr>
          <w:rFonts w:cstheme="minorHAnsi"/>
          <w:sz w:val="22"/>
          <w:szCs w:val="22"/>
        </w:rPr>
      </w:pPr>
      <w:r>
        <w:rPr>
          <w:rFonts w:cstheme="minorHAnsi"/>
          <w:sz w:val="22"/>
          <w:szCs w:val="22"/>
        </w:rPr>
        <w:t>B</w:t>
      </w:r>
      <w:r w:rsidRPr="00FE77F6">
        <w:rPr>
          <w:rFonts w:cstheme="minorHAnsi"/>
          <w:sz w:val="22"/>
          <w:szCs w:val="22"/>
        </w:rPr>
        <w:t>y December 2021</w:t>
      </w:r>
      <w:r>
        <w:rPr>
          <w:rFonts w:cstheme="minorHAnsi"/>
          <w:sz w:val="22"/>
          <w:szCs w:val="22"/>
        </w:rPr>
        <w:t>,</w:t>
      </w:r>
      <w:r w:rsidRPr="00FE77F6">
        <w:rPr>
          <w:rFonts w:cstheme="minorHAnsi"/>
          <w:sz w:val="22"/>
          <w:szCs w:val="22"/>
        </w:rPr>
        <w:t xml:space="preserve"> </w:t>
      </w:r>
      <w:r>
        <w:rPr>
          <w:rFonts w:cstheme="minorHAnsi"/>
          <w:sz w:val="22"/>
          <w:szCs w:val="22"/>
        </w:rPr>
        <w:t>t</w:t>
      </w:r>
      <w:r w:rsidRPr="00FE77F6">
        <w:rPr>
          <w:rFonts w:cstheme="minorHAnsi"/>
          <w:sz w:val="22"/>
          <w:szCs w:val="22"/>
        </w:rPr>
        <w:t xml:space="preserve">he IVA will verify implementation of the biometric system in at least </w:t>
      </w:r>
      <w:r>
        <w:rPr>
          <w:rFonts w:cstheme="minorHAnsi"/>
          <w:sz w:val="22"/>
          <w:szCs w:val="22"/>
        </w:rPr>
        <w:t>15</w:t>
      </w:r>
      <w:r w:rsidRPr="00FE77F6">
        <w:rPr>
          <w:rFonts w:cstheme="minorHAnsi"/>
          <w:sz w:val="22"/>
          <w:szCs w:val="22"/>
        </w:rPr>
        <w:t xml:space="preserve"> non-security FGS ministries</w:t>
      </w:r>
      <w:r>
        <w:rPr>
          <w:rFonts w:cstheme="minorHAnsi"/>
          <w:sz w:val="22"/>
          <w:szCs w:val="22"/>
        </w:rPr>
        <w:t>. In addition to the details provided for March 2021, i</w:t>
      </w:r>
      <w:r w:rsidRPr="00FE77F6">
        <w:rPr>
          <w:rFonts w:cstheme="minorHAnsi"/>
          <w:sz w:val="22"/>
          <w:szCs w:val="22"/>
        </w:rPr>
        <w:t>mplementation will include links with the payroll, performance, and disciplinary systems.</w:t>
      </w:r>
    </w:p>
    <w:p w14:paraId="1C032915" w14:textId="77777777" w:rsidR="00B16F23" w:rsidRPr="00FE77F6" w:rsidRDefault="00B16F23" w:rsidP="00D974DB">
      <w:pPr>
        <w:pStyle w:val="ListParagraph"/>
        <w:numPr>
          <w:ilvl w:val="0"/>
          <w:numId w:val="5"/>
        </w:numPr>
        <w:spacing w:after="240"/>
        <w:ind w:left="0" w:firstLine="0"/>
        <w:contextualSpacing w:val="0"/>
        <w:jc w:val="both"/>
        <w:rPr>
          <w:rFonts w:cstheme="minorHAnsi"/>
          <w:sz w:val="22"/>
          <w:szCs w:val="22"/>
        </w:rPr>
      </w:pPr>
      <w:r w:rsidRPr="00FE77F6">
        <w:rPr>
          <w:rFonts w:cstheme="minorHAnsi"/>
          <w:sz w:val="22"/>
          <w:szCs w:val="22"/>
        </w:rPr>
        <w:t>By December 2021</w:t>
      </w:r>
      <w:r>
        <w:rPr>
          <w:rFonts w:cstheme="minorHAnsi"/>
          <w:sz w:val="22"/>
          <w:szCs w:val="22"/>
        </w:rPr>
        <w:t>, t</w:t>
      </w:r>
      <w:r w:rsidRPr="00FE77F6">
        <w:rPr>
          <w:rFonts w:cstheme="minorHAnsi"/>
          <w:sz w:val="22"/>
          <w:szCs w:val="22"/>
        </w:rPr>
        <w:t>he IVA will acquire and review the action plan adopted by the NCSC</w:t>
      </w:r>
      <w:r>
        <w:rPr>
          <w:rFonts w:cstheme="minorHAnsi"/>
          <w:sz w:val="22"/>
          <w:szCs w:val="22"/>
        </w:rPr>
        <w:t>,</w:t>
      </w:r>
      <w:r w:rsidRPr="00FE77F6">
        <w:rPr>
          <w:rFonts w:cstheme="minorHAnsi"/>
          <w:sz w:val="22"/>
          <w:szCs w:val="22"/>
        </w:rPr>
        <w:t xml:space="preserve"> as well as evidence of adoption by the NCSC, and </w:t>
      </w:r>
      <w:r>
        <w:rPr>
          <w:rFonts w:cstheme="minorHAnsi"/>
          <w:sz w:val="22"/>
          <w:szCs w:val="22"/>
        </w:rPr>
        <w:t xml:space="preserve">will </w:t>
      </w:r>
      <w:r w:rsidRPr="00FE77F6">
        <w:rPr>
          <w:rFonts w:cstheme="minorHAnsi"/>
          <w:sz w:val="22"/>
          <w:szCs w:val="22"/>
        </w:rPr>
        <w:t>verify that it includes time</w:t>
      </w:r>
      <w:r>
        <w:rPr>
          <w:rFonts w:cstheme="minorHAnsi"/>
          <w:sz w:val="22"/>
          <w:szCs w:val="22"/>
        </w:rPr>
        <w:t xml:space="preserve"> </w:t>
      </w:r>
      <w:r w:rsidRPr="00FE77F6">
        <w:rPr>
          <w:rFonts w:cstheme="minorHAnsi"/>
          <w:sz w:val="22"/>
          <w:szCs w:val="22"/>
        </w:rPr>
        <w:t xml:space="preserve">lines for full integration with the SFMIS, regular technical audits to ensure that the system is functioning, daily biometric attendance monitoring for all staff during the second year, policy guidance to cover those cases if for any legitimate reason biometric attendance is not recorded, the plan to cover all FGS health and education service delivery facilities for attendance monitoring of staff with simpler ICT tools and related processes. </w:t>
      </w:r>
    </w:p>
    <w:p w14:paraId="404BC72C" w14:textId="77777777" w:rsidR="00B16F23" w:rsidRPr="00FE77F6" w:rsidRDefault="00B16F23" w:rsidP="00D974DB">
      <w:pPr>
        <w:pStyle w:val="ListParagraph"/>
        <w:numPr>
          <w:ilvl w:val="0"/>
          <w:numId w:val="5"/>
        </w:numPr>
        <w:spacing w:after="240"/>
        <w:ind w:left="0" w:firstLine="0"/>
        <w:contextualSpacing w:val="0"/>
        <w:jc w:val="both"/>
        <w:rPr>
          <w:rFonts w:cstheme="minorHAnsi"/>
          <w:sz w:val="22"/>
          <w:szCs w:val="22"/>
        </w:rPr>
      </w:pPr>
      <w:r w:rsidRPr="00FE77F6">
        <w:rPr>
          <w:rFonts w:cstheme="minorHAnsi"/>
          <w:sz w:val="22"/>
          <w:szCs w:val="22"/>
        </w:rPr>
        <w:t>The implementation details not mentioned here will be agreed  and reflected in the POM.</w:t>
      </w:r>
      <w:r>
        <w:rPr>
          <w:rFonts w:cstheme="minorHAnsi"/>
          <w:sz w:val="22"/>
          <w:szCs w:val="22"/>
        </w:rPr>
        <w:t xml:space="preserve"> </w:t>
      </w:r>
    </w:p>
    <w:p w14:paraId="3624B3D5" w14:textId="77777777" w:rsidR="00B16F23" w:rsidRPr="00E40A9E" w:rsidRDefault="00B16F23" w:rsidP="00B16F23">
      <w:pPr>
        <w:keepNext/>
        <w:shd w:val="clear" w:color="auto" w:fill="DBE5F1" w:themeFill="accent1" w:themeFillTint="33"/>
        <w:rPr>
          <w:rFonts w:cstheme="minorHAnsi"/>
          <w:b/>
          <w:bCs/>
          <w:sz w:val="22"/>
          <w:szCs w:val="22"/>
        </w:rPr>
      </w:pPr>
      <w:r w:rsidRPr="00E40A9E">
        <w:rPr>
          <w:rFonts w:cstheme="minorHAnsi"/>
          <w:b/>
          <w:bCs/>
          <w:sz w:val="22"/>
          <w:szCs w:val="22"/>
        </w:rPr>
        <w:lastRenderedPageBreak/>
        <w:t xml:space="preserve">DLI 10: Promoting opportunities for women in the civil service </w:t>
      </w:r>
    </w:p>
    <w:p w14:paraId="3913CBD8" w14:textId="77777777" w:rsidR="00B16F23" w:rsidRPr="00FE77F6" w:rsidRDefault="00B16F23" w:rsidP="00D974DB">
      <w:pPr>
        <w:pStyle w:val="ListParagraph"/>
        <w:numPr>
          <w:ilvl w:val="0"/>
          <w:numId w:val="5"/>
        </w:numPr>
        <w:spacing w:before="240" w:after="240"/>
        <w:ind w:left="0" w:firstLine="0"/>
        <w:contextualSpacing w:val="0"/>
        <w:jc w:val="both"/>
        <w:rPr>
          <w:rFonts w:cstheme="minorHAnsi"/>
          <w:sz w:val="22"/>
          <w:szCs w:val="22"/>
        </w:rPr>
      </w:pPr>
      <w:r w:rsidRPr="00FE77F6">
        <w:rPr>
          <w:rFonts w:cstheme="minorHAnsi"/>
          <w:sz w:val="22"/>
          <w:szCs w:val="22"/>
        </w:rPr>
        <w:t>By February 2021</w:t>
      </w:r>
      <w:r>
        <w:rPr>
          <w:rFonts w:cstheme="minorHAnsi"/>
          <w:sz w:val="22"/>
          <w:szCs w:val="22"/>
        </w:rPr>
        <w:t>,</w:t>
      </w:r>
      <w:r w:rsidRPr="00FE77F6">
        <w:rPr>
          <w:rFonts w:cstheme="minorHAnsi"/>
          <w:sz w:val="22"/>
          <w:szCs w:val="22"/>
        </w:rPr>
        <w:t xml:space="preserve"> </w:t>
      </w:r>
      <w:r>
        <w:rPr>
          <w:rFonts w:cstheme="minorHAnsi"/>
          <w:sz w:val="22"/>
          <w:szCs w:val="22"/>
        </w:rPr>
        <w:t>t</w:t>
      </w:r>
      <w:r w:rsidRPr="00FE77F6">
        <w:rPr>
          <w:rFonts w:cstheme="minorHAnsi"/>
          <w:sz w:val="22"/>
          <w:szCs w:val="22"/>
        </w:rPr>
        <w:t>he</w:t>
      </w:r>
      <w:r>
        <w:rPr>
          <w:rFonts w:cstheme="minorHAnsi"/>
          <w:sz w:val="22"/>
          <w:szCs w:val="22"/>
        </w:rPr>
        <w:t xml:space="preserve"> </w:t>
      </w:r>
      <w:r w:rsidRPr="00FE77F6">
        <w:rPr>
          <w:rFonts w:cstheme="minorHAnsi"/>
          <w:sz w:val="22"/>
          <w:szCs w:val="22"/>
        </w:rPr>
        <w:t>PIU will acquire the NSRC guidelines on promoting opportunities for women in civil service and verify that the</w:t>
      </w:r>
      <w:r>
        <w:rPr>
          <w:rFonts w:cstheme="minorHAnsi"/>
          <w:sz w:val="22"/>
          <w:szCs w:val="22"/>
        </w:rPr>
        <w:t xml:space="preserve"> guidelines</w:t>
      </w:r>
    </w:p>
    <w:p w14:paraId="477FF2A9" w14:textId="77777777" w:rsidR="00B16F23" w:rsidRPr="00FE77F6" w:rsidRDefault="00B16F23" w:rsidP="00D974DB">
      <w:pPr>
        <w:pStyle w:val="ListParagraph"/>
        <w:numPr>
          <w:ilvl w:val="0"/>
          <w:numId w:val="10"/>
        </w:numPr>
        <w:spacing w:after="240"/>
        <w:ind w:left="1195" w:hanging="475"/>
        <w:contextualSpacing w:val="0"/>
        <w:jc w:val="both"/>
        <w:rPr>
          <w:rFonts w:cstheme="minorHAnsi"/>
          <w:sz w:val="22"/>
          <w:szCs w:val="22"/>
        </w:rPr>
      </w:pPr>
      <w:r>
        <w:rPr>
          <w:rFonts w:cstheme="minorHAnsi"/>
          <w:sz w:val="22"/>
          <w:szCs w:val="22"/>
        </w:rPr>
        <w:t>E</w:t>
      </w:r>
      <w:r w:rsidRPr="00FE77F6">
        <w:rPr>
          <w:rFonts w:cstheme="minorHAnsi"/>
          <w:sz w:val="22"/>
          <w:szCs w:val="22"/>
        </w:rPr>
        <w:t>xplain the number of existing women in various FGS grade levels</w:t>
      </w:r>
      <w:r>
        <w:rPr>
          <w:rFonts w:cstheme="minorHAnsi"/>
          <w:sz w:val="22"/>
          <w:szCs w:val="22"/>
        </w:rPr>
        <w:t xml:space="preserve"> and provide definition for “senior leadership positions”</w:t>
      </w:r>
      <w:r w:rsidRPr="00FE77F6">
        <w:rPr>
          <w:rFonts w:cstheme="minorHAnsi"/>
          <w:sz w:val="22"/>
          <w:szCs w:val="22"/>
        </w:rPr>
        <w:t xml:space="preserve">; </w:t>
      </w:r>
    </w:p>
    <w:p w14:paraId="128D2B64" w14:textId="77777777" w:rsidR="00B16F23" w:rsidRPr="00FE77F6" w:rsidRDefault="00B16F23" w:rsidP="00D974DB">
      <w:pPr>
        <w:pStyle w:val="ListParagraph"/>
        <w:numPr>
          <w:ilvl w:val="0"/>
          <w:numId w:val="10"/>
        </w:numPr>
        <w:spacing w:after="240"/>
        <w:ind w:left="1195" w:hanging="475"/>
        <w:contextualSpacing w:val="0"/>
        <w:jc w:val="both"/>
        <w:rPr>
          <w:rFonts w:cstheme="minorHAnsi"/>
          <w:sz w:val="22"/>
          <w:szCs w:val="22"/>
        </w:rPr>
      </w:pPr>
      <w:r>
        <w:rPr>
          <w:rFonts w:cstheme="minorHAnsi"/>
          <w:sz w:val="22"/>
          <w:szCs w:val="22"/>
        </w:rPr>
        <w:t>I</w:t>
      </w:r>
      <w:r w:rsidRPr="00FE77F6">
        <w:rPr>
          <w:rFonts w:cstheme="minorHAnsi"/>
          <w:sz w:val="22"/>
          <w:szCs w:val="22"/>
        </w:rPr>
        <w:t>nclude measures to achieve the goal of 30 percent of women in senior leadership positions</w:t>
      </w:r>
      <w:r>
        <w:rPr>
          <w:rFonts w:cstheme="minorHAnsi"/>
          <w:sz w:val="22"/>
          <w:szCs w:val="22"/>
        </w:rPr>
        <w:t>.</w:t>
      </w:r>
      <w:r w:rsidRPr="00FE77F6">
        <w:rPr>
          <w:rFonts w:cstheme="minorHAnsi"/>
          <w:sz w:val="22"/>
          <w:szCs w:val="22"/>
        </w:rPr>
        <w:t xml:space="preserve"> </w:t>
      </w:r>
      <w:r w:rsidRPr="00F8305A">
        <w:rPr>
          <w:rFonts w:cstheme="minorHAnsi"/>
          <w:sz w:val="22"/>
          <w:szCs w:val="22"/>
        </w:rPr>
        <w:t>The measures</w:t>
      </w:r>
      <w:r w:rsidRPr="00FE77F6">
        <w:rPr>
          <w:rFonts w:cstheme="minorHAnsi"/>
          <w:b/>
          <w:bCs/>
          <w:sz w:val="22"/>
          <w:szCs w:val="22"/>
        </w:rPr>
        <w:t xml:space="preserve"> </w:t>
      </w:r>
      <w:r w:rsidRPr="00FE77F6">
        <w:rPr>
          <w:rFonts w:cstheme="minorHAnsi"/>
          <w:sz w:val="22"/>
          <w:szCs w:val="22"/>
        </w:rPr>
        <w:t>for the active promotion of opportunities for more female participation in the civil service positions should include, among any other options deemed necessary, special provision of in-service training and mentoring opportunities, creation of women in service forum and its meetings once every six months, affirmative action at the time of recruitment, HR regulations on recruitment and selection</w:t>
      </w:r>
      <w:r>
        <w:rPr>
          <w:rFonts w:cstheme="minorHAnsi"/>
          <w:sz w:val="22"/>
          <w:szCs w:val="22"/>
        </w:rPr>
        <w:t>;</w:t>
      </w:r>
      <w:r w:rsidRPr="00FE77F6">
        <w:rPr>
          <w:rFonts w:cstheme="minorHAnsi"/>
          <w:sz w:val="22"/>
          <w:szCs w:val="22"/>
        </w:rPr>
        <w:t xml:space="preserve"> and</w:t>
      </w:r>
    </w:p>
    <w:p w14:paraId="4CC667AE" w14:textId="77777777" w:rsidR="00B16F23" w:rsidRPr="00FE77F6" w:rsidRDefault="00B16F23" w:rsidP="00D974DB">
      <w:pPr>
        <w:pStyle w:val="ListParagraph"/>
        <w:numPr>
          <w:ilvl w:val="0"/>
          <w:numId w:val="10"/>
        </w:numPr>
        <w:spacing w:after="240"/>
        <w:ind w:left="1195" w:hanging="475"/>
        <w:contextualSpacing w:val="0"/>
        <w:jc w:val="both"/>
        <w:rPr>
          <w:rFonts w:cstheme="minorHAnsi"/>
          <w:sz w:val="22"/>
          <w:szCs w:val="22"/>
        </w:rPr>
      </w:pPr>
      <w:r>
        <w:rPr>
          <w:rFonts w:cstheme="minorHAnsi"/>
          <w:sz w:val="22"/>
          <w:szCs w:val="22"/>
        </w:rPr>
        <w:t>P</w:t>
      </w:r>
      <w:r w:rsidRPr="00FE77F6">
        <w:rPr>
          <w:rFonts w:cstheme="minorHAnsi"/>
          <w:sz w:val="22"/>
          <w:szCs w:val="22"/>
        </w:rPr>
        <w:t xml:space="preserve">rescribe annual progress reporting requirements, including the format and contents of the annual progress report, responsibilities for its preparation, and publication requirements. </w:t>
      </w:r>
    </w:p>
    <w:p w14:paraId="72845B92" w14:textId="77777777" w:rsidR="00B16F23" w:rsidRPr="00FE77F6" w:rsidRDefault="00B16F23" w:rsidP="00D974DB">
      <w:pPr>
        <w:pStyle w:val="ListParagraph"/>
        <w:numPr>
          <w:ilvl w:val="0"/>
          <w:numId w:val="5"/>
        </w:numPr>
        <w:spacing w:after="240"/>
        <w:ind w:left="0" w:firstLine="0"/>
        <w:contextualSpacing w:val="0"/>
        <w:jc w:val="both"/>
        <w:rPr>
          <w:rFonts w:cstheme="minorHAnsi"/>
          <w:sz w:val="22"/>
          <w:szCs w:val="22"/>
        </w:rPr>
      </w:pPr>
      <w:r w:rsidRPr="00FE77F6">
        <w:rPr>
          <w:rFonts w:cstheme="minorHAnsi"/>
          <w:sz w:val="22"/>
          <w:szCs w:val="22"/>
        </w:rPr>
        <w:t>By December 2021</w:t>
      </w:r>
      <w:r>
        <w:rPr>
          <w:rFonts w:cstheme="minorHAnsi"/>
          <w:sz w:val="22"/>
          <w:szCs w:val="22"/>
        </w:rPr>
        <w:t>,</w:t>
      </w:r>
      <w:r w:rsidRPr="00FE77F6">
        <w:rPr>
          <w:rFonts w:cstheme="minorHAnsi"/>
          <w:sz w:val="22"/>
          <w:szCs w:val="22"/>
        </w:rPr>
        <w:t xml:space="preserve"> </w:t>
      </w:r>
      <w:r>
        <w:rPr>
          <w:rFonts w:cstheme="minorHAnsi"/>
          <w:sz w:val="22"/>
          <w:szCs w:val="22"/>
        </w:rPr>
        <w:t>t</w:t>
      </w:r>
      <w:r w:rsidRPr="00FE77F6">
        <w:rPr>
          <w:rFonts w:cstheme="minorHAnsi"/>
          <w:sz w:val="22"/>
          <w:szCs w:val="22"/>
        </w:rPr>
        <w:t xml:space="preserve">he IVA will obtain the annual report from a public resource and verify that it covers, </w:t>
      </w:r>
      <w:r>
        <w:rPr>
          <w:rFonts w:cstheme="minorHAnsi"/>
          <w:sz w:val="22"/>
          <w:szCs w:val="22"/>
        </w:rPr>
        <w:t>among others</w:t>
      </w:r>
      <w:r w:rsidRPr="00FE77F6">
        <w:rPr>
          <w:rFonts w:cstheme="minorHAnsi"/>
          <w:sz w:val="22"/>
          <w:szCs w:val="22"/>
        </w:rPr>
        <w:t>, the following topics: the number of women in various grades in FGS disaggregated by MDAs</w:t>
      </w:r>
      <w:r>
        <w:rPr>
          <w:rFonts w:cstheme="minorHAnsi"/>
          <w:sz w:val="22"/>
          <w:szCs w:val="22"/>
        </w:rPr>
        <w:t>;</w:t>
      </w:r>
      <w:r w:rsidRPr="00FE77F6">
        <w:rPr>
          <w:rFonts w:cstheme="minorHAnsi"/>
          <w:sz w:val="22"/>
          <w:szCs w:val="22"/>
        </w:rPr>
        <w:t xml:space="preserve"> the current status of measures, specific for various grade brackets and general measures that apply to all,</w:t>
      </w:r>
      <w:r>
        <w:rPr>
          <w:rFonts w:cstheme="minorHAnsi"/>
          <w:sz w:val="22"/>
          <w:szCs w:val="22"/>
        </w:rPr>
        <w:t xml:space="preserve"> </w:t>
      </w:r>
      <w:r w:rsidRPr="00FE77F6">
        <w:rPr>
          <w:rFonts w:cstheme="minorHAnsi"/>
          <w:sz w:val="22"/>
          <w:szCs w:val="22"/>
        </w:rPr>
        <w:t>being taken to achieve the NDP goals</w:t>
      </w:r>
      <w:r>
        <w:rPr>
          <w:rFonts w:cstheme="minorHAnsi"/>
          <w:sz w:val="22"/>
          <w:szCs w:val="22"/>
        </w:rPr>
        <w:t>;</w:t>
      </w:r>
      <w:r w:rsidRPr="00FE77F6">
        <w:rPr>
          <w:rFonts w:cstheme="minorHAnsi"/>
          <w:sz w:val="22"/>
          <w:szCs w:val="22"/>
        </w:rPr>
        <w:t xml:space="preserve"> and the general promotion of women in government positions and action plan for the next reporting period to promote opportunities for women. The </w:t>
      </w:r>
      <w:r w:rsidRPr="00836707">
        <w:rPr>
          <w:rFonts w:cstheme="minorHAnsi"/>
          <w:sz w:val="22"/>
          <w:szCs w:val="22"/>
        </w:rPr>
        <w:t>action plan</w:t>
      </w:r>
      <w:r w:rsidRPr="00FE77F6">
        <w:rPr>
          <w:rFonts w:cstheme="minorHAnsi"/>
          <w:b/>
          <w:bCs/>
          <w:sz w:val="22"/>
          <w:szCs w:val="22"/>
        </w:rPr>
        <w:t xml:space="preserve"> </w:t>
      </w:r>
      <w:r w:rsidRPr="00FE77F6">
        <w:rPr>
          <w:rFonts w:cstheme="minorHAnsi"/>
          <w:sz w:val="22"/>
          <w:szCs w:val="22"/>
        </w:rPr>
        <w:t>must include measures for the active promotion of opportunities for more female participation in the civil service positions with clearly assigned responsibilities and time</w:t>
      </w:r>
      <w:r>
        <w:rPr>
          <w:rFonts w:cstheme="minorHAnsi"/>
          <w:sz w:val="22"/>
          <w:szCs w:val="22"/>
        </w:rPr>
        <w:t xml:space="preserve"> </w:t>
      </w:r>
      <w:r w:rsidRPr="00FE77F6">
        <w:rPr>
          <w:rFonts w:cstheme="minorHAnsi"/>
          <w:sz w:val="22"/>
          <w:szCs w:val="22"/>
        </w:rPr>
        <w:t>frame</w:t>
      </w:r>
      <w:r>
        <w:rPr>
          <w:rFonts w:cstheme="minorHAnsi"/>
          <w:sz w:val="22"/>
          <w:szCs w:val="22"/>
        </w:rPr>
        <w:t>s</w:t>
      </w:r>
      <w:r w:rsidRPr="00FE77F6">
        <w:rPr>
          <w:rFonts w:cstheme="minorHAnsi"/>
          <w:sz w:val="22"/>
          <w:szCs w:val="22"/>
        </w:rPr>
        <w:t>.</w:t>
      </w:r>
      <w:r>
        <w:rPr>
          <w:rFonts w:cstheme="minorHAnsi"/>
          <w:sz w:val="22"/>
          <w:szCs w:val="22"/>
        </w:rPr>
        <w:t xml:space="preserve"> </w:t>
      </w:r>
    </w:p>
    <w:p w14:paraId="5AB9D651" w14:textId="77777777" w:rsidR="00B16F23" w:rsidRPr="00FE77F6" w:rsidRDefault="00B16F23" w:rsidP="00D974DB">
      <w:pPr>
        <w:pStyle w:val="ListParagraph"/>
        <w:numPr>
          <w:ilvl w:val="0"/>
          <w:numId w:val="5"/>
        </w:numPr>
        <w:spacing w:after="240"/>
        <w:ind w:left="0" w:firstLine="0"/>
        <w:contextualSpacing w:val="0"/>
        <w:jc w:val="both"/>
        <w:rPr>
          <w:rFonts w:cstheme="minorHAnsi"/>
          <w:sz w:val="22"/>
          <w:szCs w:val="22"/>
        </w:rPr>
      </w:pPr>
      <w:r w:rsidRPr="00FE77F6">
        <w:rPr>
          <w:rFonts w:cstheme="minorHAnsi"/>
          <w:sz w:val="22"/>
          <w:szCs w:val="22"/>
        </w:rPr>
        <w:t>The implementation details not mentioned here will be agreed and reflected in the POM.</w:t>
      </w:r>
      <w:r>
        <w:rPr>
          <w:rFonts w:cstheme="minorHAnsi"/>
          <w:sz w:val="22"/>
          <w:szCs w:val="22"/>
        </w:rPr>
        <w:t xml:space="preserve"> </w:t>
      </w:r>
    </w:p>
    <w:p w14:paraId="265FB905" w14:textId="77777777" w:rsidR="00B16F23" w:rsidRPr="00E40A9E" w:rsidRDefault="00B16F23" w:rsidP="00B16F23">
      <w:pPr>
        <w:keepNext/>
        <w:shd w:val="clear" w:color="auto" w:fill="DBE5F1" w:themeFill="accent1" w:themeFillTint="33"/>
        <w:rPr>
          <w:rFonts w:cstheme="minorHAnsi"/>
          <w:b/>
          <w:bCs/>
          <w:sz w:val="22"/>
          <w:szCs w:val="22"/>
        </w:rPr>
      </w:pPr>
      <w:r w:rsidRPr="00E40A9E">
        <w:rPr>
          <w:rFonts w:cstheme="minorHAnsi"/>
          <w:b/>
          <w:bCs/>
          <w:sz w:val="22"/>
          <w:szCs w:val="22"/>
        </w:rPr>
        <w:t xml:space="preserve">DLI 11: Reforming pay and grading </w:t>
      </w:r>
    </w:p>
    <w:p w14:paraId="4149B541" w14:textId="77777777" w:rsidR="00B16F23" w:rsidRPr="00FE77F6" w:rsidRDefault="00B16F23" w:rsidP="00D974DB">
      <w:pPr>
        <w:pStyle w:val="ListParagraph"/>
        <w:numPr>
          <w:ilvl w:val="0"/>
          <w:numId w:val="5"/>
        </w:numPr>
        <w:spacing w:before="240" w:after="240"/>
        <w:ind w:left="0" w:firstLine="0"/>
        <w:contextualSpacing w:val="0"/>
        <w:jc w:val="both"/>
        <w:rPr>
          <w:rFonts w:cstheme="minorHAnsi"/>
          <w:sz w:val="22"/>
          <w:szCs w:val="22"/>
        </w:rPr>
      </w:pPr>
      <w:r>
        <w:rPr>
          <w:rFonts w:cstheme="minorHAnsi"/>
          <w:sz w:val="22"/>
          <w:szCs w:val="22"/>
        </w:rPr>
        <w:t>B</w:t>
      </w:r>
      <w:r w:rsidRPr="00FE77F6">
        <w:rPr>
          <w:rFonts w:cstheme="minorHAnsi"/>
          <w:sz w:val="22"/>
          <w:szCs w:val="22"/>
        </w:rPr>
        <w:t>y December 2021</w:t>
      </w:r>
      <w:r>
        <w:rPr>
          <w:rFonts w:cstheme="minorHAnsi"/>
          <w:sz w:val="22"/>
          <w:szCs w:val="22"/>
        </w:rPr>
        <w:t>,</w:t>
      </w:r>
      <w:r w:rsidRPr="00FE77F6">
        <w:rPr>
          <w:rFonts w:cstheme="minorHAnsi"/>
          <w:sz w:val="22"/>
          <w:szCs w:val="22"/>
        </w:rPr>
        <w:t xml:space="preserve"> </w:t>
      </w:r>
      <w:r>
        <w:rPr>
          <w:rFonts w:cstheme="minorHAnsi"/>
          <w:sz w:val="22"/>
          <w:szCs w:val="22"/>
        </w:rPr>
        <w:t>t</w:t>
      </w:r>
      <w:r w:rsidRPr="00FE77F6">
        <w:rPr>
          <w:rFonts w:cstheme="minorHAnsi"/>
          <w:sz w:val="22"/>
          <w:szCs w:val="22"/>
        </w:rPr>
        <w:t xml:space="preserve">he IVA should acquire a Cabinet decision on the approved pay and grading reform option and determine whether the following </w:t>
      </w:r>
      <w:r>
        <w:rPr>
          <w:rFonts w:cstheme="minorHAnsi"/>
          <w:sz w:val="22"/>
          <w:szCs w:val="22"/>
        </w:rPr>
        <w:t>are</w:t>
      </w:r>
      <w:r w:rsidRPr="00FE77F6">
        <w:rPr>
          <w:rFonts w:cstheme="minorHAnsi"/>
          <w:sz w:val="22"/>
          <w:szCs w:val="22"/>
        </w:rPr>
        <w:t xml:space="preserve"> included:</w:t>
      </w:r>
      <w:r>
        <w:rPr>
          <w:rFonts w:cstheme="minorHAnsi"/>
          <w:sz w:val="22"/>
          <w:szCs w:val="22"/>
        </w:rPr>
        <w:t xml:space="preserve"> </w:t>
      </w:r>
      <w:r w:rsidRPr="00FE77F6">
        <w:rPr>
          <w:rFonts w:cstheme="minorHAnsi"/>
          <w:sz w:val="22"/>
          <w:szCs w:val="22"/>
        </w:rPr>
        <w:t>(</w:t>
      </w:r>
      <w:r>
        <w:rPr>
          <w:rFonts w:cstheme="minorHAnsi"/>
          <w:sz w:val="22"/>
          <w:szCs w:val="22"/>
        </w:rPr>
        <w:t>a</w:t>
      </w:r>
      <w:r w:rsidRPr="00FE77F6">
        <w:rPr>
          <w:rFonts w:cstheme="minorHAnsi"/>
          <w:sz w:val="22"/>
          <w:szCs w:val="22"/>
        </w:rPr>
        <w:t>) consolidation of allowances into base pay endorsed as part of the pay and grading policy</w:t>
      </w:r>
      <w:r>
        <w:rPr>
          <w:rFonts w:cstheme="minorHAnsi"/>
          <w:sz w:val="22"/>
          <w:szCs w:val="22"/>
        </w:rPr>
        <w:t>,</w:t>
      </w:r>
      <w:r w:rsidRPr="00FE77F6">
        <w:rPr>
          <w:rFonts w:cstheme="minorHAnsi"/>
          <w:sz w:val="22"/>
          <w:szCs w:val="22"/>
        </w:rPr>
        <w:t xml:space="preserve"> (</w:t>
      </w:r>
      <w:r>
        <w:rPr>
          <w:rFonts w:cstheme="minorHAnsi"/>
          <w:sz w:val="22"/>
          <w:szCs w:val="22"/>
        </w:rPr>
        <w:t>b</w:t>
      </w:r>
      <w:r w:rsidRPr="00FE77F6">
        <w:rPr>
          <w:rFonts w:cstheme="minorHAnsi"/>
          <w:sz w:val="22"/>
          <w:szCs w:val="22"/>
        </w:rPr>
        <w:t>) integration of CIM staff grades and salaries as well as donor-financed positions into the new civil service pay and grading system</w:t>
      </w:r>
      <w:r>
        <w:rPr>
          <w:rFonts w:cstheme="minorHAnsi"/>
          <w:sz w:val="22"/>
          <w:szCs w:val="22"/>
        </w:rPr>
        <w:t>,</w:t>
      </w:r>
      <w:r w:rsidRPr="00FE77F6">
        <w:rPr>
          <w:rFonts w:cstheme="minorHAnsi"/>
          <w:sz w:val="22"/>
          <w:szCs w:val="22"/>
        </w:rPr>
        <w:t xml:space="preserve"> (</w:t>
      </w:r>
      <w:r>
        <w:rPr>
          <w:rFonts w:cstheme="minorHAnsi"/>
          <w:sz w:val="22"/>
          <w:szCs w:val="22"/>
        </w:rPr>
        <w:t>c</w:t>
      </w:r>
      <w:r w:rsidRPr="00FE77F6">
        <w:rPr>
          <w:rFonts w:cstheme="minorHAnsi"/>
          <w:sz w:val="22"/>
          <w:szCs w:val="22"/>
        </w:rPr>
        <w:t>) the new pay and grading structure to be the basis for determining pay and grades for civil servants and advis</w:t>
      </w:r>
      <w:r>
        <w:rPr>
          <w:rFonts w:cstheme="minorHAnsi"/>
          <w:sz w:val="22"/>
          <w:szCs w:val="22"/>
        </w:rPr>
        <w:t>e</w:t>
      </w:r>
      <w:r w:rsidRPr="00FE77F6">
        <w:rPr>
          <w:rFonts w:cstheme="minorHAnsi"/>
          <w:sz w:val="22"/>
          <w:szCs w:val="22"/>
        </w:rPr>
        <w:t>r positions</w:t>
      </w:r>
      <w:r>
        <w:rPr>
          <w:rFonts w:cstheme="minorHAnsi"/>
          <w:sz w:val="22"/>
          <w:szCs w:val="22"/>
        </w:rPr>
        <w:t>,</w:t>
      </w:r>
      <w:r w:rsidRPr="00FE77F6">
        <w:rPr>
          <w:rFonts w:cstheme="minorHAnsi"/>
          <w:sz w:val="22"/>
          <w:szCs w:val="22"/>
        </w:rPr>
        <w:t xml:space="preserve"> and (</w:t>
      </w:r>
      <w:r>
        <w:rPr>
          <w:rFonts w:cstheme="minorHAnsi"/>
          <w:sz w:val="22"/>
          <w:szCs w:val="22"/>
        </w:rPr>
        <w:t>d</w:t>
      </w:r>
      <w:r w:rsidRPr="00FE77F6">
        <w:rPr>
          <w:rFonts w:cstheme="minorHAnsi"/>
          <w:sz w:val="22"/>
          <w:szCs w:val="22"/>
        </w:rPr>
        <w:t xml:space="preserve">) fiscal sustainability of the wage bill. </w:t>
      </w:r>
      <w:r>
        <w:rPr>
          <w:rFonts w:cstheme="minorHAnsi"/>
          <w:sz w:val="22"/>
          <w:szCs w:val="22"/>
        </w:rPr>
        <w:t>(</w:t>
      </w:r>
      <w:r w:rsidRPr="00836707">
        <w:rPr>
          <w:rFonts w:cstheme="minorHAnsi"/>
          <w:sz w:val="22"/>
          <w:szCs w:val="22"/>
        </w:rPr>
        <w:t>Note:</w:t>
      </w:r>
      <w:r w:rsidRPr="00FE77F6">
        <w:rPr>
          <w:rFonts w:cstheme="minorHAnsi"/>
          <w:sz w:val="22"/>
          <w:szCs w:val="22"/>
        </w:rPr>
        <w:t xml:space="preserve"> Both Stream A and Stream B CIM positions are to be mapped to the new pay and grading structure.</w:t>
      </w:r>
      <w:r>
        <w:rPr>
          <w:rFonts w:cstheme="minorHAnsi"/>
          <w:sz w:val="22"/>
          <w:szCs w:val="22"/>
        </w:rPr>
        <w:t>)</w:t>
      </w:r>
      <w:r w:rsidRPr="00FE77F6">
        <w:rPr>
          <w:rFonts w:cstheme="minorHAnsi"/>
          <w:sz w:val="22"/>
          <w:szCs w:val="22"/>
        </w:rPr>
        <w:t xml:space="preserve"> Donor-financed positions include advis</w:t>
      </w:r>
      <w:r>
        <w:rPr>
          <w:rFonts w:cstheme="minorHAnsi"/>
          <w:sz w:val="22"/>
          <w:szCs w:val="22"/>
        </w:rPr>
        <w:t>e</w:t>
      </w:r>
      <w:r w:rsidRPr="00FE77F6">
        <w:rPr>
          <w:rFonts w:cstheme="minorHAnsi"/>
          <w:sz w:val="22"/>
          <w:szCs w:val="22"/>
        </w:rPr>
        <w:t xml:space="preserve">rs hired by </w:t>
      </w:r>
      <w:r>
        <w:rPr>
          <w:rFonts w:cstheme="minorHAnsi"/>
          <w:sz w:val="22"/>
          <w:szCs w:val="22"/>
        </w:rPr>
        <w:t xml:space="preserve">the </w:t>
      </w:r>
      <w:r w:rsidRPr="00FE77F6">
        <w:rPr>
          <w:rFonts w:cstheme="minorHAnsi"/>
          <w:sz w:val="22"/>
          <w:szCs w:val="22"/>
        </w:rPr>
        <w:t xml:space="preserve">Government and are to be placed in the new structure as scarce and high priority skills. These exclude project staff hired as consultants to facilitate implementation of donor-financed projects. </w:t>
      </w:r>
    </w:p>
    <w:p w14:paraId="43BB608B" w14:textId="77777777" w:rsidR="00B16F23" w:rsidRPr="00FE77F6" w:rsidRDefault="00B16F23" w:rsidP="00D974DB">
      <w:pPr>
        <w:pStyle w:val="ListParagraph"/>
        <w:numPr>
          <w:ilvl w:val="0"/>
          <w:numId w:val="5"/>
        </w:numPr>
        <w:spacing w:after="240"/>
        <w:ind w:left="0" w:firstLine="0"/>
        <w:contextualSpacing w:val="0"/>
        <w:jc w:val="both"/>
        <w:rPr>
          <w:rFonts w:cstheme="minorHAnsi"/>
          <w:sz w:val="22"/>
          <w:szCs w:val="22"/>
        </w:rPr>
      </w:pPr>
      <w:r w:rsidRPr="00FE77F6">
        <w:rPr>
          <w:rFonts w:cstheme="minorHAnsi"/>
          <w:sz w:val="22"/>
          <w:szCs w:val="22"/>
        </w:rPr>
        <w:t>By December 2021</w:t>
      </w:r>
      <w:r>
        <w:rPr>
          <w:rFonts w:cstheme="minorHAnsi"/>
          <w:sz w:val="22"/>
          <w:szCs w:val="22"/>
        </w:rPr>
        <w:t>,</w:t>
      </w:r>
      <w:r w:rsidRPr="00FE77F6">
        <w:rPr>
          <w:rFonts w:cstheme="minorHAnsi"/>
          <w:sz w:val="22"/>
          <w:szCs w:val="22"/>
        </w:rPr>
        <w:t xml:space="preserve"> </w:t>
      </w:r>
      <w:r>
        <w:rPr>
          <w:rFonts w:cstheme="minorHAnsi"/>
          <w:sz w:val="22"/>
          <w:szCs w:val="22"/>
        </w:rPr>
        <w:t>t</w:t>
      </w:r>
      <w:r w:rsidRPr="00FE77F6">
        <w:rPr>
          <w:rFonts w:cstheme="minorHAnsi"/>
          <w:sz w:val="22"/>
          <w:szCs w:val="22"/>
        </w:rPr>
        <w:t>he IVA should acquire a Cabinet decision approving the plan for transitioning CIM staff and other donor-financed positions into the new pay and grading system.</w:t>
      </w:r>
      <w:r>
        <w:rPr>
          <w:rFonts w:cstheme="minorHAnsi"/>
          <w:sz w:val="22"/>
          <w:szCs w:val="22"/>
        </w:rPr>
        <w:t xml:space="preserve"> (</w:t>
      </w:r>
      <w:r w:rsidRPr="00836707">
        <w:rPr>
          <w:rFonts w:cstheme="minorHAnsi"/>
          <w:sz w:val="22"/>
          <w:szCs w:val="22"/>
        </w:rPr>
        <w:t>Note:</w:t>
      </w:r>
      <w:r w:rsidRPr="00FE77F6">
        <w:rPr>
          <w:rFonts w:cstheme="minorHAnsi"/>
          <w:sz w:val="22"/>
          <w:szCs w:val="22"/>
        </w:rPr>
        <w:t xml:space="preserve"> Both Stream A and Stream B CIM positions are to be mapped to the new pay and grading structure.</w:t>
      </w:r>
      <w:r>
        <w:rPr>
          <w:rFonts w:cstheme="minorHAnsi"/>
          <w:sz w:val="22"/>
          <w:szCs w:val="22"/>
        </w:rPr>
        <w:t>)</w:t>
      </w:r>
      <w:r w:rsidRPr="00FE77F6">
        <w:rPr>
          <w:rFonts w:cstheme="minorHAnsi"/>
          <w:sz w:val="22"/>
          <w:szCs w:val="22"/>
        </w:rPr>
        <w:t xml:space="preserve"> Donor-financed positions include advis</w:t>
      </w:r>
      <w:r>
        <w:rPr>
          <w:rFonts w:cstheme="minorHAnsi"/>
          <w:sz w:val="22"/>
          <w:szCs w:val="22"/>
        </w:rPr>
        <w:t>e</w:t>
      </w:r>
      <w:r w:rsidRPr="00FE77F6">
        <w:rPr>
          <w:rFonts w:cstheme="minorHAnsi"/>
          <w:sz w:val="22"/>
          <w:szCs w:val="22"/>
        </w:rPr>
        <w:t xml:space="preserve">rs hired by </w:t>
      </w:r>
      <w:r>
        <w:rPr>
          <w:rFonts w:cstheme="minorHAnsi"/>
          <w:sz w:val="22"/>
          <w:szCs w:val="22"/>
        </w:rPr>
        <w:t xml:space="preserve">the </w:t>
      </w:r>
      <w:r w:rsidRPr="00FE77F6">
        <w:rPr>
          <w:rFonts w:cstheme="minorHAnsi"/>
          <w:sz w:val="22"/>
          <w:szCs w:val="22"/>
        </w:rPr>
        <w:t>Government and are to be placed in the new structure as scarce and high priority skills. These exclude project staff hired as consultants to facilitate implementation of donor-financed projects.</w:t>
      </w:r>
    </w:p>
    <w:p w14:paraId="06739DD9" w14:textId="77777777" w:rsidR="00B16F23" w:rsidRPr="00FE77F6" w:rsidRDefault="00B16F23" w:rsidP="00D974DB">
      <w:pPr>
        <w:pStyle w:val="ListParagraph"/>
        <w:numPr>
          <w:ilvl w:val="0"/>
          <w:numId w:val="5"/>
        </w:numPr>
        <w:spacing w:after="240"/>
        <w:ind w:left="0" w:firstLine="0"/>
        <w:contextualSpacing w:val="0"/>
        <w:jc w:val="both"/>
        <w:rPr>
          <w:rFonts w:cstheme="minorHAnsi"/>
          <w:sz w:val="22"/>
          <w:szCs w:val="22"/>
        </w:rPr>
      </w:pPr>
      <w:r w:rsidRPr="00FE77F6">
        <w:rPr>
          <w:rFonts w:cstheme="minorHAnsi"/>
          <w:sz w:val="22"/>
          <w:szCs w:val="22"/>
        </w:rPr>
        <w:t>The implementation details not mentioned here will be agreed and reflected in the POM.</w:t>
      </w:r>
      <w:r>
        <w:rPr>
          <w:rFonts w:cstheme="minorHAnsi"/>
          <w:sz w:val="22"/>
          <w:szCs w:val="22"/>
        </w:rPr>
        <w:t xml:space="preserve"> </w:t>
      </w:r>
    </w:p>
    <w:p w14:paraId="1C7B5025" w14:textId="77777777" w:rsidR="00B16F23" w:rsidRPr="00FE77F6" w:rsidRDefault="00B16F23" w:rsidP="00B16F23">
      <w:pPr>
        <w:keepNext/>
        <w:shd w:val="clear" w:color="auto" w:fill="DBE5F1" w:themeFill="accent1" w:themeFillTint="33"/>
        <w:rPr>
          <w:rFonts w:cstheme="minorHAnsi"/>
          <w:b/>
          <w:bCs/>
          <w:sz w:val="22"/>
          <w:szCs w:val="22"/>
        </w:rPr>
      </w:pPr>
      <w:r w:rsidRPr="00FE77F6">
        <w:rPr>
          <w:rFonts w:cstheme="minorHAnsi"/>
          <w:b/>
          <w:bCs/>
          <w:sz w:val="22"/>
          <w:szCs w:val="22"/>
        </w:rPr>
        <w:lastRenderedPageBreak/>
        <w:t>DLI 12: Reforming pensions policy and administration</w:t>
      </w:r>
    </w:p>
    <w:p w14:paraId="41BE6BC4" w14:textId="77777777" w:rsidR="00B16F23" w:rsidRPr="00FE77F6" w:rsidRDefault="00B16F23" w:rsidP="00D974DB">
      <w:pPr>
        <w:pStyle w:val="ListParagraph"/>
        <w:numPr>
          <w:ilvl w:val="0"/>
          <w:numId w:val="5"/>
        </w:numPr>
        <w:spacing w:before="240" w:after="240"/>
        <w:ind w:left="0" w:firstLine="0"/>
        <w:contextualSpacing w:val="0"/>
        <w:jc w:val="both"/>
        <w:rPr>
          <w:rFonts w:cstheme="minorHAnsi"/>
          <w:sz w:val="22"/>
          <w:szCs w:val="22"/>
        </w:rPr>
      </w:pPr>
      <w:r w:rsidRPr="00FE77F6">
        <w:rPr>
          <w:rFonts w:cstheme="minorHAnsi"/>
          <w:noProof/>
          <w:sz w:val="22"/>
          <w:szCs w:val="22"/>
        </w:rPr>
        <w:t>By February 2021</w:t>
      </w:r>
      <w:r>
        <w:rPr>
          <w:rFonts w:cstheme="minorHAnsi"/>
          <w:noProof/>
          <w:sz w:val="22"/>
          <w:szCs w:val="22"/>
        </w:rPr>
        <w:t>,</w:t>
      </w:r>
      <w:r w:rsidRPr="00FE77F6">
        <w:rPr>
          <w:rFonts w:cstheme="minorHAnsi"/>
          <w:noProof/>
          <w:sz w:val="22"/>
          <w:szCs w:val="22"/>
        </w:rPr>
        <w:t xml:space="preserve"> </w:t>
      </w:r>
      <w:r>
        <w:rPr>
          <w:rFonts w:cstheme="minorHAnsi"/>
          <w:noProof/>
          <w:sz w:val="22"/>
          <w:szCs w:val="22"/>
        </w:rPr>
        <w:t>t</w:t>
      </w:r>
      <w:r w:rsidRPr="00FE77F6">
        <w:rPr>
          <w:rFonts w:cstheme="minorHAnsi"/>
          <w:noProof/>
          <w:sz w:val="22"/>
          <w:szCs w:val="22"/>
        </w:rPr>
        <w:t xml:space="preserve">he PIU will obtain a Cabinet decision on the approval of the pension policy and verify that the Pension </w:t>
      </w:r>
      <w:r>
        <w:rPr>
          <w:rFonts w:cstheme="minorHAnsi"/>
          <w:noProof/>
          <w:sz w:val="22"/>
          <w:szCs w:val="22"/>
        </w:rPr>
        <w:t>L</w:t>
      </w:r>
      <w:r w:rsidRPr="00FE77F6">
        <w:rPr>
          <w:rFonts w:cstheme="minorHAnsi"/>
          <w:noProof/>
          <w:sz w:val="22"/>
          <w:szCs w:val="22"/>
        </w:rPr>
        <w:t xml:space="preserve">aw </w:t>
      </w:r>
      <w:r w:rsidRPr="00FE77F6">
        <w:rPr>
          <w:rFonts w:cstheme="minorHAnsi"/>
          <w:sz w:val="22"/>
          <w:szCs w:val="22"/>
        </w:rPr>
        <w:t xml:space="preserve">submitted to the </w:t>
      </w:r>
      <w:r>
        <w:rPr>
          <w:rFonts w:cstheme="minorHAnsi"/>
          <w:sz w:val="22"/>
          <w:szCs w:val="22"/>
        </w:rPr>
        <w:t>P</w:t>
      </w:r>
      <w:r w:rsidRPr="00FE77F6">
        <w:rPr>
          <w:rFonts w:cstheme="minorHAnsi"/>
          <w:sz w:val="22"/>
          <w:szCs w:val="22"/>
        </w:rPr>
        <w:t>arliament is fully aligned with the pensions policy and includes the following provisions:</w:t>
      </w:r>
    </w:p>
    <w:p w14:paraId="41390D41" w14:textId="77777777" w:rsidR="00B16F23" w:rsidRPr="00FE77F6" w:rsidRDefault="00B16F23" w:rsidP="00D974DB">
      <w:pPr>
        <w:pStyle w:val="ListParagraph"/>
        <w:numPr>
          <w:ilvl w:val="0"/>
          <w:numId w:val="11"/>
        </w:numPr>
        <w:spacing w:after="240"/>
        <w:ind w:left="1195" w:hanging="475"/>
        <w:contextualSpacing w:val="0"/>
        <w:jc w:val="both"/>
        <w:rPr>
          <w:rFonts w:cstheme="minorHAnsi"/>
          <w:sz w:val="22"/>
          <w:szCs w:val="22"/>
        </w:rPr>
      </w:pPr>
      <w:r w:rsidRPr="00FE77F6">
        <w:rPr>
          <w:rFonts w:cstheme="minorHAnsi"/>
          <w:sz w:val="22"/>
          <w:szCs w:val="22"/>
        </w:rPr>
        <w:t xml:space="preserve">Award for </w:t>
      </w:r>
      <w:r>
        <w:rPr>
          <w:rFonts w:cstheme="minorHAnsi"/>
          <w:sz w:val="22"/>
          <w:szCs w:val="22"/>
        </w:rPr>
        <w:t>f</w:t>
      </w:r>
      <w:r w:rsidRPr="00FE77F6">
        <w:rPr>
          <w:rFonts w:cstheme="minorHAnsi"/>
          <w:sz w:val="22"/>
          <w:szCs w:val="22"/>
        </w:rPr>
        <w:t xml:space="preserve">uture and </w:t>
      </w:r>
      <w:r>
        <w:rPr>
          <w:rFonts w:cstheme="minorHAnsi"/>
          <w:sz w:val="22"/>
          <w:szCs w:val="22"/>
        </w:rPr>
        <w:t>p</w:t>
      </w:r>
      <w:r w:rsidRPr="00FE77F6">
        <w:rPr>
          <w:rFonts w:cstheme="minorHAnsi"/>
          <w:sz w:val="22"/>
          <w:szCs w:val="22"/>
        </w:rPr>
        <w:t xml:space="preserve">ast </w:t>
      </w:r>
      <w:r>
        <w:rPr>
          <w:rFonts w:cstheme="minorHAnsi"/>
          <w:sz w:val="22"/>
          <w:szCs w:val="22"/>
        </w:rPr>
        <w:t>s</w:t>
      </w:r>
      <w:r w:rsidRPr="00FE77F6">
        <w:rPr>
          <w:rFonts w:cstheme="minorHAnsi"/>
          <w:sz w:val="22"/>
          <w:szCs w:val="22"/>
        </w:rPr>
        <w:t xml:space="preserve">ervice shall be equal to 1/800th of his/her </w:t>
      </w:r>
      <w:r>
        <w:rPr>
          <w:rFonts w:cstheme="minorHAnsi"/>
          <w:sz w:val="22"/>
          <w:szCs w:val="22"/>
        </w:rPr>
        <w:t>b</w:t>
      </w:r>
      <w:r w:rsidRPr="00FE77F6">
        <w:rPr>
          <w:rFonts w:cstheme="minorHAnsi"/>
          <w:sz w:val="22"/>
          <w:szCs w:val="22"/>
        </w:rPr>
        <w:t xml:space="preserve">asic </w:t>
      </w:r>
      <w:r>
        <w:rPr>
          <w:rFonts w:cstheme="minorHAnsi"/>
          <w:sz w:val="22"/>
          <w:szCs w:val="22"/>
        </w:rPr>
        <w:t>s</w:t>
      </w:r>
      <w:r w:rsidRPr="00FE77F6">
        <w:rPr>
          <w:rFonts w:cstheme="minorHAnsi"/>
          <w:sz w:val="22"/>
          <w:szCs w:val="22"/>
        </w:rPr>
        <w:t xml:space="preserve">alary of each completed month of </w:t>
      </w:r>
      <w:r>
        <w:rPr>
          <w:rFonts w:cstheme="minorHAnsi"/>
          <w:sz w:val="22"/>
          <w:szCs w:val="22"/>
        </w:rPr>
        <w:t>f</w:t>
      </w:r>
      <w:r w:rsidRPr="00FE77F6">
        <w:rPr>
          <w:rFonts w:cstheme="minorHAnsi"/>
          <w:sz w:val="22"/>
          <w:szCs w:val="22"/>
        </w:rPr>
        <w:t xml:space="preserve">uture and </w:t>
      </w:r>
      <w:r>
        <w:rPr>
          <w:rFonts w:cstheme="minorHAnsi"/>
          <w:sz w:val="22"/>
          <w:szCs w:val="22"/>
        </w:rPr>
        <w:t>p</w:t>
      </w:r>
      <w:r w:rsidRPr="00FE77F6">
        <w:rPr>
          <w:rFonts w:cstheme="minorHAnsi"/>
          <w:sz w:val="22"/>
          <w:szCs w:val="22"/>
        </w:rPr>
        <w:t xml:space="preserve">ast </w:t>
      </w:r>
      <w:r>
        <w:rPr>
          <w:rFonts w:cstheme="minorHAnsi"/>
          <w:sz w:val="22"/>
          <w:szCs w:val="22"/>
        </w:rPr>
        <w:t>s</w:t>
      </w:r>
      <w:r w:rsidRPr="00FE77F6">
        <w:rPr>
          <w:rFonts w:cstheme="minorHAnsi"/>
          <w:sz w:val="22"/>
          <w:szCs w:val="22"/>
        </w:rPr>
        <w:t xml:space="preserve">ervice, but total pension granted </w:t>
      </w:r>
      <w:r>
        <w:rPr>
          <w:rFonts w:cstheme="minorHAnsi"/>
          <w:sz w:val="22"/>
          <w:szCs w:val="22"/>
        </w:rPr>
        <w:t xml:space="preserve">is </w:t>
      </w:r>
      <w:r w:rsidRPr="00FE77F6">
        <w:rPr>
          <w:rFonts w:cstheme="minorHAnsi"/>
          <w:sz w:val="22"/>
          <w:szCs w:val="22"/>
        </w:rPr>
        <w:t>not to exceed 70</w:t>
      </w:r>
      <w:r>
        <w:rPr>
          <w:rFonts w:cstheme="minorHAnsi"/>
          <w:sz w:val="22"/>
          <w:szCs w:val="22"/>
        </w:rPr>
        <w:t xml:space="preserve">percent </w:t>
      </w:r>
      <w:r w:rsidRPr="00FE77F6">
        <w:rPr>
          <w:rFonts w:cstheme="minorHAnsi"/>
          <w:sz w:val="22"/>
          <w:szCs w:val="22"/>
        </w:rPr>
        <w:t xml:space="preserve">of </w:t>
      </w:r>
      <w:r>
        <w:rPr>
          <w:rFonts w:cstheme="minorHAnsi"/>
          <w:sz w:val="22"/>
          <w:szCs w:val="22"/>
        </w:rPr>
        <w:t>b</w:t>
      </w:r>
      <w:r w:rsidRPr="00FE77F6">
        <w:rPr>
          <w:rFonts w:cstheme="minorHAnsi"/>
          <w:sz w:val="22"/>
          <w:szCs w:val="22"/>
        </w:rPr>
        <w:t xml:space="preserve">asic </w:t>
      </w:r>
      <w:r>
        <w:rPr>
          <w:rFonts w:cstheme="minorHAnsi"/>
          <w:sz w:val="22"/>
          <w:szCs w:val="22"/>
        </w:rPr>
        <w:t>s</w:t>
      </w:r>
      <w:r w:rsidRPr="00FE77F6">
        <w:rPr>
          <w:rFonts w:cstheme="minorHAnsi"/>
          <w:sz w:val="22"/>
          <w:szCs w:val="22"/>
        </w:rPr>
        <w:t>alary</w:t>
      </w:r>
      <w:r>
        <w:rPr>
          <w:rFonts w:cstheme="minorHAnsi"/>
          <w:sz w:val="22"/>
          <w:szCs w:val="22"/>
        </w:rPr>
        <w:t>.</w:t>
      </w:r>
    </w:p>
    <w:p w14:paraId="44BE424A" w14:textId="77777777" w:rsidR="00B16F23" w:rsidRPr="00FE77F6" w:rsidRDefault="00B16F23" w:rsidP="00D974DB">
      <w:pPr>
        <w:pStyle w:val="ListParagraph"/>
        <w:numPr>
          <w:ilvl w:val="0"/>
          <w:numId w:val="11"/>
        </w:numPr>
        <w:spacing w:after="240"/>
        <w:ind w:left="1195" w:hanging="475"/>
        <w:contextualSpacing w:val="0"/>
        <w:jc w:val="both"/>
        <w:rPr>
          <w:rFonts w:cstheme="minorHAnsi"/>
          <w:sz w:val="22"/>
          <w:szCs w:val="22"/>
        </w:rPr>
      </w:pPr>
      <w:r w:rsidRPr="00FE77F6">
        <w:rPr>
          <w:rFonts w:cstheme="minorHAnsi"/>
          <w:sz w:val="22"/>
          <w:szCs w:val="22"/>
        </w:rPr>
        <w:t xml:space="preserve">Fair treatment of those above retirement age in 2021, </w:t>
      </w:r>
      <w:r>
        <w:rPr>
          <w:rFonts w:cstheme="minorHAnsi"/>
          <w:sz w:val="22"/>
          <w:szCs w:val="22"/>
        </w:rPr>
        <w:t>that is,</w:t>
      </w:r>
      <w:r w:rsidRPr="00FE77F6">
        <w:rPr>
          <w:rFonts w:cstheme="minorHAnsi"/>
          <w:sz w:val="22"/>
          <w:szCs w:val="22"/>
        </w:rPr>
        <w:t xml:space="preserve"> credit for full length of service</w:t>
      </w:r>
      <w:r>
        <w:rPr>
          <w:rFonts w:cstheme="minorHAnsi"/>
          <w:sz w:val="22"/>
          <w:szCs w:val="22"/>
        </w:rPr>
        <w:t>—</w:t>
      </w:r>
      <w:r w:rsidRPr="00FE77F6">
        <w:rPr>
          <w:rFonts w:cstheme="minorHAnsi"/>
          <w:sz w:val="22"/>
          <w:szCs w:val="22"/>
        </w:rPr>
        <w:t>on average 30 years.</w:t>
      </w:r>
    </w:p>
    <w:p w14:paraId="5201FC41" w14:textId="77777777" w:rsidR="00B16F23" w:rsidRDefault="00B16F23" w:rsidP="00D974DB">
      <w:pPr>
        <w:pStyle w:val="ListParagraph"/>
        <w:numPr>
          <w:ilvl w:val="0"/>
          <w:numId w:val="11"/>
        </w:numPr>
        <w:spacing w:after="240"/>
        <w:ind w:left="1195" w:hanging="475"/>
        <w:contextualSpacing w:val="0"/>
        <w:jc w:val="both"/>
        <w:rPr>
          <w:rFonts w:cstheme="minorHAnsi"/>
          <w:sz w:val="22"/>
          <w:szCs w:val="22"/>
        </w:rPr>
      </w:pPr>
      <w:r w:rsidRPr="00FE77F6">
        <w:rPr>
          <w:rFonts w:cstheme="minorHAnsi"/>
          <w:sz w:val="22"/>
          <w:szCs w:val="22"/>
        </w:rPr>
        <w:t xml:space="preserve">Fair, but fiscally sustainable survivor benefits, </w:t>
      </w:r>
      <w:r>
        <w:rPr>
          <w:rFonts w:cstheme="minorHAnsi"/>
          <w:sz w:val="22"/>
          <w:szCs w:val="22"/>
        </w:rPr>
        <w:t xml:space="preserve">that is, </w:t>
      </w:r>
      <w:r w:rsidRPr="00FE77F6">
        <w:rPr>
          <w:rFonts w:cstheme="minorHAnsi"/>
          <w:sz w:val="22"/>
          <w:szCs w:val="22"/>
        </w:rPr>
        <w:t>survivors include daughters and sons receiving benefits until age 18 unless disabled</w:t>
      </w:r>
      <w:r>
        <w:rPr>
          <w:rFonts w:cstheme="minorHAnsi"/>
          <w:sz w:val="22"/>
          <w:szCs w:val="22"/>
        </w:rPr>
        <w:t>,</w:t>
      </w:r>
      <w:r w:rsidRPr="00FE77F6">
        <w:rPr>
          <w:rFonts w:cstheme="minorHAnsi"/>
          <w:sz w:val="22"/>
          <w:szCs w:val="22"/>
        </w:rPr>
        <w:t xml:space="preserve"> widows until remarriage and widowers only if not remarried and having no other spouse</w:t>
      </w:r>
      <w:r>
        <w:rPr>
          <w:rFonts w:cstheme="minorHAnsi"/>
          <w:sz w:val="22"/>
          <w:szCs w:val="22"/>
        </w:rPr>
        <w:t>,</w:t>
      </w:r>
      <w:r w:rsidRPr="00FE77F6">
        <w:rPr>
          <w:rFonts w:cstheme="minorHAnsi"/>
          <w:sz w:val="22"/>
          <w:szCs w:val="22"/>
        </w:rPr>
        <w:t xml:space="preserve"> </w:t>
      </w:r>
      <w:r>
        <w:rPr>
          <w:rFonts w:cstheme="minorHAnsi"/>
          <w:sz w:val="22"/>
          <w:szCs w:val="22"/>
        </w:rPr>
        <w:t xml:space="preserve">and </w:t>
      </w:r>
      <w:r w:rsidRPr="00FE77F6">
        <w:rPr>
          <w:rFonts w:cstheme="minorHAnsi"/>
          <w:sz w:val="22"/>
          <w:szCs w:val="22"/>
        </w:rPr>
        <w:t>parents receiving among them not more 70</w:t>
      </w:r>
      <w:r>
        <w:rPr>
          <w:rFonts w:cstheme="minorHAnsi"/>
          <w:sz w:val="22"/>
          <w:szCs w:val="22"/>
        </w:rPr>
        <w:t xml:space="preserve"> percent</w:t>
      </w:r>
      <w:r w:rsidRPr="00FE77F6">
        <w:rPr>
          <w:rFonts w:cstheme="minorHAnsi"/>
          <w:sz w:val="22"/>
          <w:szCs w:val="22"/>
        </w:rPr>
        <w:t xml:space="preserve"> of old age pension.</w:t>
      </w:r>
    </w:p>
    <w:p w14:paraId="31372E9E" w14:textId="77777777" w:rsidR="00B16F23" w:rsidRPr="00FE77F6" w:rsidRDefault="00B16F23" w:rsidP="00D974DB">
      <w:pPr>
        <w:pStyle w:val="ListParagraph"/>
        <w:numPr>
          <w:ilvl w:val="0"/>
          <w:numId w:val="11"/>
        </w:numPr>
        <w:spacing w:after="240"/>
        <w:ind w:left="1195" w:hanging="475"/>
        <w:contextualSpacing w:val="0"/>
        <w:jc w:val="both"/>
        <w:rPr>
          <w:rFonts w:cstheme="minorHAnsi"/>
          <w:sz w:val="22"/>
          <w:szCs w:val="22"/>
        </w:rPr>
      </w:pPr>
      <w:r w:rsidRPr="00F81DA7">
        <w:rPr>
          <w:rFonts w:cstheme="minorHAnsi"/>
          <w:sz w:val="22"/>
          <w:szCs w:val="22"/>
        </w:rPr>
        <w:t>Fair treatment of those totally incapable of work as determined by Competent Medical Commission (may require examination and monitoring); those injured at work to receive a benefit same as if person had continued working until retirement age; those whose injuries are not work-related, to receive a benefit same as if person had continued working until retirement age.</w:t>
      </w:r>
    </w:p>
    <w:p w14:paraId="2D04378B" w14:textId="77777777" w:rsidR="00B16F23" w:rsidRPr="00FE77F6" w:rsidRDefault="00B16F23" w:rsidP="00D974DB">
      <w:pPr>
        <w:pStyle w:val="ListParagraph"/>
        <w:numPr>
          <w:ilvl w:val="0"/>
          <w:numId w:val="11"/>
        </w:numPr>
        <w:spacing w:after="240"/>
        <w:ind w:left="1195" w:hanging="475"/>
        <w:contextualSpacing w:val="0"/>
        <w:jc w:val="both"/>
        <w:rPr>
          <w:rFonts w:cstheme="minorHAnsi"/>
          <w:sz w:val="22"/>
          <w:szCs w:val="22"/>
        </w:rPr>
      </w:pPr>
      <w:r w:rsidRPr="00FE77F6">
        <w:rPr>
          <w:rFonts w:cstheme="minorHAnsi"/>
          <w:sz w:val="22"/>
          <w:szCs w:val="22"/>
        </w:rPr>
        <w:t>Contribution rates equal 5</w:t>
      </w:r>
      <w:r w:rsidRPr="008C37EE">
        <w:rPr>
          <w:rFonts w:cstheme="minorHAnsi"/>
          <w:sz w:val="22"/>
          <w:szCs w:val="22"/>
        </w:rPr>
        <w:t xml:space="preserve"> </w:t>
      </w:r>
      <w:r>
        <w:rPr>
          <w:rFonts w:cstheme="minorHAnsi"/>
          <w:sz w:val="22"/>
          <w:szCs w:val="22"/>
        </w:rPr>
        <w:t>percent</w:t>
      </w:r>
      <w:r w:rsidRPr="00FE77F6">
        <w:rPr>
          <w:rFonts w:cstheme="minorHAnsi"/>
          <w:sz w:val="22"/>
          <w:szCs w:val="22"/>
        </w:rPr>
        <w:t xml:space="preserve"> of employee’s salary contributed by the employee and 5</w:t>
      </w:r>
      <w:r w:rsidRPr="008C37EE">
        <w:rPr>
          <w:rFonts w:cstheme="minorHAnsi"/>
          <w:sz w:val="22"/>
          <w:szCs w:val="22"/>
        </w:rPr>
        <w:t xml:space="preserve"> </w:t>
      </w:r>
      <w:r>
        <w:rPr>
          <w:rFonts w:cstheme="minorHAnsi"/>
          <w:sz w:val="22"/>
          <w:szCs w:val="22"/>
        </w:rPr>
        <w:t>percent</w:t>
      </w:r>
      <w:r w:rsidRPr="00FE77F6">
        <w:rPr>
          <w:rFonts w:cstheme="minorHAnsi"/>
          <w:sz w:val="22"/>
          <w:szCs w:val="22"/>
        </w:rPr>
        <w:t xml:space="preserve"> of employee’s salary contributed by the </w:t>
      </w:r>
      <w:r>
        <w:rPr>
          <w:rFonts w:cstheme="minorHAnsi"/>
          <w:sz w:val="22"/>
          <w:szCs w:val="22"/>
        </w:rPr>
        <w:t>G</w:t>
      </w:r>
      <w:r w:rsidRPr="00FE77F6">
        <w:rPr>
          <w:rFonts w:cstheme="minorHAnsi"/>
          <w:sz w:val="22"/>
          <w:szCs w:val="22"/>
        </w:rPr>
        <w:t>overnment.</w:t>
      </w:r>
    </w:p>
    <w:p w14:paraId="15D3A8AA" w14:textId="77777777" w:rsidR="00B16F23" w:rsidRPr="00FE77F6" w:rsidRDefault="00B16F23" w:rsidP="00D974DB">
      <w:pPr>
        <w:pStyle w:val="ListParagraph"/>
        <w:numPr>
          <w:ilvl w:val="0"/>
          <w:numId w:val="5"/>
        </w:numPr>
        <w:spacing w:after="240"/>
        <w:ind w:left="0" w:firstLine="0"/>
        <w:contextualSpacing w:val="0"/>
        <w:jc w:val="both"/>
        <w:rPr>
          <w:rFonts w:cstheme="minorHAnsi"/>
          <w:noProof/>
          <w:sz w:val="22"/>
          <w:szCs w:val="22"/>
        </w:rPr>
      </w:pPr>
      <w:r w:rsidRPr="00FE77F6">
        <w:rPr>
          <w:rFonts w:cstheme="minorHAnsi"/>
          <w:noProof/>
          <w:sz w:val="22"/>
          <w:szCs w:val="22"/>
        </w:rPr>
        <w:t>By April 2021</w:t>
      </w:r>
      <w:r>
        <w:rPr>
          <w:rFonts w:cstheme="minorHAnsi"/>
          <w:noProof/>
          <w:sz w:val="22"/>
          <w:szCs w:val="22"/>
        </w:rPr>
        <w:t>,</w:t>
      </w:r>
      <w:r w:rsidRPr="00FE77F6">
        <w:rPr>
          <w:rFonts w:cstheme="minorHAnsi"/>
          <w:noProof/>
          <w:sz w:val="22"/>
          <w:szCs w:val="22"/>
        </w:rPr>
        <w:t xml:space="preserve"> </w:t>
      </w:r>
      <w:r>
        <w:rPr>
          <w:rFonts w:cstheme="minorHAnsi"/>
          <w:noProof/>
          <w:sz w:val="22"/>
          <w:szCs w:val="22"/>
        </w:rPr>
        <w:t>t</w:t>
      </w:r>
      <w:r w:rsidRPr="00FE77F6">
        <w:rPr>
          <w:rFonts w:cstheme="minorHAnsi"/>
          <w:noProof/>
          <w:sz w:val="22"/>
          <w:szCs w:val="22"/>
        </w:rPr>
        <w:t xml:space="preserve">he IVA to obtain adopted pension regulations </w:t>
      </w:r>
      <w:r>
        <w:rPr>
          <w:rFonts w:cstheme="minorHAnsi"/>
          <w:noProof/>
          <w:sz w:val="22"/>
          <w:szCs w:val="22"/>
        </w:rPr>
        <w:t>that will provide detailed guidelines for implementing the pension policy</w:t>
      </w:r>
      <w:r w:rsidRPr="00FE77F6">
        <w:rPr>
          <w:rFonts w:cstheme="minorHAnsi"/>
          <w:noProof/>
          <w:sz w:val="22"/>
          <w:szCs w:val="22"/>
        </w:rPr>
        <w:t xml:space="preserve">. </w:t>
      </w:r>
      <w:r w:rsidRPr="001012E3">
        <w:rPr>
          <w:rFonts w:cstheme="minorHAnsi"/>
          <w:noProof/>
          <w:sz w:val="22"/>
          <w:szCs w:val="22"/>
        </w:rPr>
        <w:t>At minimum the following regulations must be in place, i.e. approved/enacted by relevant authorities: on recordkeeping and reporting, on Pension Fund operations and responsibilities; on registration for pension benefits; on qualification of survivors for benefits; and on qualifications and registration for disability benefits.</w:t>
      </w:r>
    </w:p>
    <w:p w14:paraId="73FA3B13" w14:textId="77777777" w:rsidR="00B16F23" w:rsidRPr="00FE77F6" w:rsidRDefault="00B16F23" w:rsidP="00D974DB">
      <w:pPr>
        <w:pStyle w:val="ListParagraph"/>
        <w:numPr>
          <w:ilvl w:val="0"/>
          <w:numId w:val="5"/>
        </w:numPr>
        <w:spacing w:after="240"/>
        <w:ind w:left="0" w:firstLine="0"/>
        <w:contextualSpacing w:val="0"/>
        <w:jc w:val="both"/>
        <w:rPr>
          <w:rFonts w:cstheme="minorHAnsi"/>
          <w:sz w:val="22"/>
          <w:szCs w:val="22"/>
        </w:rPr>
      </w:pPr>
      <w:r>
        <w:rPr>
          <w:rFonts w:cstheme="minorHAnsi"/>
          <w:noProof/>
          <w:sz w:val="22"/>
          <w:szCs w:val="22"/>
        </w:rPr>
        <w:t>B</w:t>
      </w:r>
      <w:r w:rsidRPr="00FE77F6">
        <w:rPr>
          <w:rFonts w:cstheme="minorHAnsi"/>
          <w:noProof/>
          <w:sz w:val="22"/>
          <w:szCs w:val="22"/>
        </w:rPr>
        <w:t xml:space="preserve">y </w:t>
      </w:r>
      <w:r w:rsidRPr="00FE77F6">
        <w:rPr>
          <w:rFonts w:cstheme="minorHAnsi"/>
          <w:sz w:val="22"/>
          <w:szCs w:val="22"/>
        </w:rPr>
        <w:t>December</w:t>
      </w:r>
      <w:r w:rsidRPr="00FE77F6">
        <w:rPr>
          <w:rFonts w:cstheme="minorHAnsi"/>
          <w:noProof/>
          <w:sz w:val="22"/>
          <w:szCs w:val="22"/>
        </w:rPr>
        <w:t xml:space="preserve"> 2021</w:t>
      </w:r>
      <w:r>
        <w:rPr>
          <w:rFonts w:cstheme="minorHAnsi"/>
          <w:noProof/>
          <w:sz w:val="22"/>
          <w:szCs w:val="22"/>
        </w:rPr>
        <w:t>,</w:t>
      </w:r>
      <w:r w:rsidRPr="00FE77F6">
        <w:rPr>
          <w:rFonts w:cstheme="minorHAnsi"/>
          <w:noProof/>
          <w:sz w:val="22"/>
          <w:szCs w:val="22"/>
        </w:rPr>
        <w:t xml:space="preserve"> </w:t>
      </w:r>
      <w:r>
        <w:rPr>
          <w:rFonts w:cstheme="minorHAnsi"/>
          <w:noProof/>
          <w:sz w:val="22"/>
          <w:szCs w:val="22"/>
        </w:rPr>
        <w:t>t</w:t>
      </w:r>
      <w:r w:rsidRPr="00FE77F6">
        <w:rPr>
          <w:rFonts w:cstheme="minorHAnsi"/>
          <w:noProof/>
          <w:sz w:val="22"/>
          <w:szCs w:val="22"/>
        </w:rPr>
        <w:t>he IVA to verify that</w:t>
      </w:r>
      <w:r>
        <w:rPr>
          <w:rFonts w:cstheme="minorHAnsi"/>
          <w:noProof/>
          <w:sz w:val="22"/>
          <w:szCs w:val="22"/>
        </w:rPr>
        <w:t>:</w:t>
      </w:r>
      <w:r w:rsidRPr="00FE77F6">
        <w:rPr>
          <w:rFonts w:cstheme="minorHAnsi"/>
          <w:noProof/>
          <w:sz w:val="22"/>
          <w:szCs w:val="22"/>
        </w:rPr>
        <w:t xml:space="preserve"> </w:t>
      </w:r>
    </w:p>
    <w:p w14:paraId="61B94661" w14:textId="77777777" w:rsidR="00B16F23" w:rsidRPr="00D45A86" w:rsidRDefault="00B16F23" w:rsidP="00D974DB">
      <w:pPr>
        <w:pStyle w:val="ListParagraph"/>
        <w:numPr>
          <w:ilvl w:val="0"/>
          <w:numId w:val="6"/>
        </w:numPr>
        <w:spacing w:after="240"/>
        <w:ind w:left="1195" w:hanging="475"/>
        <w:contextualSpacing w:val="0"/>
        <w:jc w:val="both"/>
        <w:rPr>
          <w:rFonts w:cstheme="minorHAnsi"/>
          <w:sz w:val="22"/>
          <w:szCs w:val="22"/>
        </w:rPr>
      </w:pPr>
      <w:r>
        <w:t>All civil servants above pensionable age as of December 31, 2021, are registered and their pension benefits are calculated;</w:t>
      </w:r>
    </w:p>
    <w:p w14:paraId="1BCDE875" w14:textId="77777777" w:rsidR="00B16F23" w:rsidRPr="00C96F55" w:rsidRDefault="00B16F23" w:rsidP="00D974DB">
      <w:pPr>
        <w:pStyle w:val="ListParagraph"/>
        <w:numPr>
          <w:ilvl w:val="0"/>
          <w:numId w:val="6"/>
        </w:numPr>
        <w:spacing w:after="240"/>
        <w:ind w:left="1195" w:hanging="475"/>
        <w:contextualSpacing w:val="0"/>
        <w:jc w:val="both"/>
        <w:rPr>
          <w:rFonts w:cstheme="minorHAnsi"/>
          <w:sz w:val="22"/>
          <w:szCs w:val="22"/>
        </w:rPr>
      </w:pPr>
      <w:r>
        <w:t>A</w:t>
      </w:r>
      <w:r w:rsidRPr="001F0177">
        <w:t>ll civil servants who have reached or were above the retirement age (i.e. 65 years of age or above) age as of December 1, 2021</w:t>
      </w:r>
      <w:r>
        <w:t>,</w:t>
      </w:r>
      <w:r w:rsidRPr="001F0177">
        <w:t xml:space="preserve"> </w:t>
      </w:r>
      <w:r>
        <w:t xml:space="preserve">received their first pension benefit payments for January 2022. </w:t>
      </w:r>
    </w:p>
    <w:p w14:paraId="455B9596" w14:textId="77777777" w:rsidR="00B16F23" w:rsidRDefault="00B16F23" w:rsidP="00D974DB">
      <w:pPr>
        <w:pStyle w:val="ListParagraph"/>
        <w:numPr>
          <w:ilvl w:val="0"/>
          <w:numId w:val="6"/>
        </w:numPr>
        <w:spacing w:after="240"/>
        <w:ind w:left="1195" w:hanging="475"/>
        <w:contextualSpacing w:val="0"/>
        <w:jc w:val="both"/>
        <w:rPr>
          <w:rFonts w:cstheme="minorHAnsi"/>
          <w:sz w:val="22"/>
          <w:szCs w:val="22"/>
        </w:rPr>
      </w:pPr>
      <w:r w:rsidRPr="00FE77F6">
        <w:rPr>
          <w:rFonts w:cstheme="minorHAnsi"/>
          <w:sz w:val="22"/>
          <w:szCs w:val="22"/>
        </w:rPr>
        <w:t>IT systems are in place (deployed and tested) to begin collecting contributions from employees and the Government</w:t>
      </w:r>
      <w:r>
        <w:rPr>
          <w:rFonts w:cstheme="minorHAnsi"/>
          <w:sz w:val="22"/>
          <w:szCs w:val="22"/>
        </w:rPr>
        <w:t xml:space="preserve">. </w:t>
      </w:r>
    </w:p>
    <w:p w14:paraId="65868776" w14:textId="77777777" w:rsidR="00B16F23" w:rsidRDefault="00B16F23" w:rsidP="00D974DB">
      <w:pPr>
        <w:pStyle w:val="ListParagraph"/>
        <w:numPr>
          <w:ilvl w:val="0"/>
          <w:numId w:val="5"/>
        </w:numPr>
        <w:spacing w:after="240"/>
        <w:ind w:left="0" w:firstLine="0"/>
        <w:contextualSpacing w:val="0"/>
        <w:jc w:val="both"/>
        <w:rPr>
          <w:rFonts w:cstheme="minorHAnsi"/>
          <w:sz w:val="22"/>
          <w:szCs w:val="22"/>
        </w:rPr>
      </w:pPr>
      <w:r>
        <w:rPr>
          <w:rFonts w:cstheme="minorHAnsi"/>
          <w:sz w:val="22"/>
          <w:szCs w:val="22"/>
        </w:rPr>
        <w:t xml:space="preserve">By December 2021, the IVA to verify that </w:t>
      </w:r>
    </w:p>
    <w:p w14:paraId="7507B040" w14:textId="77777777" w:rsidR="00B16F23" w:rsidRPr="00B860D2" w:rsidRDefault="00B16F23" w:rsidP="00D974DB">
      <w:pPr>
        <w:pStyle w:val="ListParagraph"/>
        <w:numPr>
          <w:ilvl w:val="0"/>
          <w:numId w:val="15"/>
        </w:numPr>
        <w:spacing w:after="240"/>
        <w:contextualSpacing w:val="0"/>
        <w:jc w:val="both"/>
        <w:rPr>
          <w:rFonts w:cstheme="minorHAnsi"/>
          <w:sz w:val="22"/>
          <w:szCs w:val="22"/>
        </w:rPr>
      </w:pPr>
      <w:r>
        <w:rPr>
          <w:rFonts w:cstheme="minorHAnsi"/>
          <w:sz w:val="22"/>
          <w:szCs w:val="22"/>
        </w:rPr>
        <w:t>The Pension Fund Department is established and staffed with competitively hired:</w:t>
      </w:r>
    </w:p>
    <w:p w14:paraId="43018727" w14:textId="77777777" w:rsidR="00B16F23" w:rsidRPr="00D94E42" w:rsidRDefault="00B16F23" w:rsidP="00D974DB">
      <w:pPr>
        <w:pStyle w:val="ListParagraph"/>
        <w:numPr>
          <w:ilvl w:val="1"/>
          <w:numId w:val="15"/>
        </w:numPr>
        <w:spacing w:after="240"/>
        <w:jc w:val="both"/>
      </w:pPr>
      <w:r>
        <w:t>D</w:t>
      </w:r>
      <w:r w:rsidRPr="00D94E42">
        <w:t>epartment director</w:t>
      </w:r>
    </w:p>
    <w:p w14:paraId="2CAABF68" w14:textId="77777777" w:rsidR="00B16F23" w:rsidRPr="00D94E42" w:rsidRDefault="00B16F23" w:rsidP="00D974DB">
      <w:pPr>
        <w:pStyle w:val="ListParagraph"/>
        <w:numPr>
          <w:ilvl w:val="1"/>
          <w:numId w:val="15"/>
        </w:numPr>
        <w:spacing w:after="240"/>
        <w:jc w:val="both"/>
      </w:pPr>
      <w:r w:rsidRPr="00D94E42">
        <w:t xml:space="preserve">Applications for </w:t>
      </w:r>
      <w:r>
        <w:t>b</w:t>
      </w:r>
      <w:r w:rsidRPr="00D94E42">
        <w:t>enefits division manager</w:t>
      </w:r>
    </w:p>
    <w:p w14:paraId="2D7DC343" w14:textId="77777777" w:rsidR="00B16F23" w:rsidRPr="00D94E42" w:rsidRDefault="00B16F23" w:rsidP="00D974DB">
      <w:pPr>
        <w:pStyle w:val="ListParagraph"/>
        <w:numPr>
          <w:ilvl w:val="1"/>
          <w:numId w:val="15"/>
        </w:numPr>
        <w:spacing w:after="240"/>
        <w:jc w:val="both"/>
      </w:pPr>
      <w:r w:rsidRPr="00D94E42">
        <w:t>Payment of benefits division manager</w:t>
      </w:r>
    </w:p>
    <w:p w14:paraId="4CB8A9F2" w14:textId="77777777" w:rsidR="00B16F23" w:rsidRPr="00D94E42" w:rsidRDefault="00B16F23" w:rsidP="00D974DB">
      <w:pPr>
        <w:pStyle w:val="ListParagraph"/>
        <w:numPr>
          <w:ilvl w:val="1"/>
          <w:numId w:val="15"/>
        </w:numPr>
        <w:spacing w:after="240"/>
        <w:jc w:val="both"/>
      </w:pPr>
      <w:r w:rsidRPr="00D94E42">
        <w:t>Contribution</w:t>
      </w:r>
      <w:r>
        <w:t>s</w:t>
      </w:r>
      <w:r w:rsidRPr="00D94E42">
        <w:t xml:space="preserve"> division manager, liaison with other MDAs</w:t>
      </w:r>
    </w:p>
    <w:p w14:paraId="635C8320" w14:textId="77777777" w:rsidR="00B16F23" w:rsidRPr="00D94E42" w:rsidRDefault="00B16F23" w:rsidP="00D974DB">
      <w:pPr>
        <w:pStyle w:val="ListParagraph"/>
        <w:numPr>
          <w:ilvl w:val="1"/>
          <w:numId w:val="15"/>
        </w:numPr>
        <w:spacing w:after="240"/>
        <w:jc w:val="both"/>
      </w:pPr>
      <w:r w:rsidRPr="00D94E42">
        <w:t>Appeals officer</w:t>
      </w:r>
    </w:p>
    <w:p w14:paraId="6F1F5723" w14:textId="77777777" w:rsidR="00B16F23" w:rsidRPr="00D94E42" w:rsidRDefault="00B16F23" w:rsidP="00D974DB">
      <w:pPr>
        <w:pStyle w:val="ListParagraph"/>
        <w:numPr>
          <w:ilvl w:val="1"/>
          <w:numId w:val="15"/>
        </w:numPr>
        <w:spacing w:after="240"/>
        <w:jc w:val="both"/>
      </w:pPr>
      <w:r>
        <w:t>C</w:t>
      </w:r>
      <w:r w:rsidRPr="00D94E42">
        <w:t>lient relations and public information officer</w:t>
      </w:r>
    </w:p>
    <w:p w14:paraId="205EC4DD" w14:textId="77777777" w:rsidR="00B16F23" w:rsidRPr="00D94E42" w:rsidRDefault="00B16F23" w:rsidP="00D974DB">
      <w:pPr>
        <w:pStyle w:val="ListParagraph"/>
        <w:numPr>
          <w:ilvl w:val="1"/>
          <w:numId w:val="15"/>
        </w:numPr>
        <w:spacing w:after="240"/>
        <w:jc w:val="both"/>
      </w:pPr>
      <w:r>
        <w:lastRenderedPageBreak/>
        <w:t>C</w:t>
      </w:r>
      <w:r w:rsidRPr="00D94E42">
        <w:t xml:space="preserve">ounsel, compliance officer </w:t>
      </w:r>
    </w:p>
    <w:p w14:paraId="6EB32288" w14:textId="77777777" w:rsidR="00B16F23" w:rsidRPr="00D94E42" w:rsidRDefault="00B16F23" w:rsidP="00D974DB">
      <w:pPr>
        <w:pStyle w:val="ListParagraph"/>
        <w:numPr>
          <w:ilvl w:val="1"/>
          <w:numId w:val="15"/>
        </w:numPr>
        <w:spacing w:after="240"/>
        <w:jc w:val="both"/>
      </w:pPr>
      <w:r w:rsidRPr="00D94E42">
        <w:t xml:space="preserve">IT division manager </w:t>
      </w:r>
    </w:p>
    <w:p w14:paraId="6940A9D9" w14:textId="77777777" w:rsidR="00B16F23" w:rsidRPr="00D94E42" w:rsidRDefault="00B16F23" w:rsidP="00D974DB">
      <w:pPr>
        <w:pStyle w:val="ListParagraph"/>
        <w:numPr>
          <w:ilvl w:val="1"/>
          <w:numId w:val="15"/>
        </w:numPr>
        <w:spacing w:after="240"/>
        <w:jc w:val="both"/>
      </w:pPr>
      <w:r w:rsidRPr="00D94E42">
        <w:t>IT officer, database of records</w:t>
      </w:r>
    </w:p>
    <w:p w14:paraId="70C0E024" w14:textId="77777777" w:rsidR="00B16F23" w:rsidRPr="00D94E42" w:rsidRDefault="00B16F23" w:rsidP="00D974DB">
      <w:pPr>
        <w:pStyle w:val="ListParagraph"/>
        <w:numPr>
          <w:ilvl w:val="1"/>
          <w:numId w:val="15"/>
        </w:numPr>
        <w:spacing w:after="240"/>
        <w:jc w:val="both"/>
      </w:pPr>
      <w:r w:rsidRPr="00D94E42">
        <w:t>Financial officer, accountant (can also be responsible for internal audit)</w:t>
      </w:r>
    </w:p>
    <w:p w14:paraId="3263BE03" w14:textId="77777777" w:rsidR="00B16F23" w:rsidRDefault="00B16F23" w:rsidP="00D974DB">
      <w:pPr>
        <w:pStyle w:val="ListParagraph"/>
        <w:numPr>
          <w:ilvl w:val="1"/>
          <w:numId w:val="15"/>
        </w:numPr>
        <w:spacing w:after="240"/>
        <w:jc w:val="both"/>
      </w:pPr>
      <w:r w:rsidRPr="00D94E42">
        <w:t>Office manager</w:t>
      </w:r>
    </w:p>
    <w:p w14:paraId="377D5986" w14:textId="77777777" w:rsidR="00B16F23" w:rsidRPr="00D94E42" w:rsidRDefault="00B16F23" w:rsidP="00D974DB">
      <w:pPr>
        <w:pStyle w:val="ListParagraph"/>
        <w:numPr>
          <w:ilvl w:val="1"/>
          <w:numId w:val="15"/>
        </w:numPr>
        <w:spacing w:after="240"/>
        <w:jc w:val="both"/>
      </w:pPr>
      <w:r w:rsidRPr="005A5ECF">
        <w:t>A separate set of ToRs will need to be developed for the Competent Medical Commission for disability and age discrimination; commission will have MDA representatives (ex-officio) as members and at minimum one medical officer and one legal officer on staff.</w:t>
      </w:r>
    </w:p>
    <w:p w14:paraId="5EE03AC0" w14:textId="77777777" w:rsidR="00B16F23" w:rsidRPr="00D94E42" w:rsidRDefault="00B16F23" w:rsidP="00B16F23">
      <w:pPr>
        <w:pStyle w:val="ListParagraph"/>
        <w:spacing w:after="240"/>
        <w:ind w:left="1440"/>
        <w:jc w:val="both"/>
      </w:pPr>
      <w:r w:rsidRPr="00D94E42">
        <w:t xml:space="preserve"> </w:t>
      </w:r>
    </w:p>
    <w:p w14:paraId="5B3AC61E" w14:textId="77777777" w:rsidR="00B16F23" w:rsidRPr="00FE77F6" w:rsidRDefault="00B16F23" w:rsidP="00D974DB">
      <w:pPr>
        <w:pStyle w:val="ListParagraph"/>
        <w:numPr>
          <w:ilvl w:val="0"/>
          <w:numId w:val="15"/>
        </w:numPr>
        <w:spacing w:after="240"/>
        <w:ind w:left="1195" w:hanging="475"/>
        <w:contextualSpacing w:val="0"/>
        <w:jc w:val="both"/>
        <w:rPr>
          <w:rFonts w:cstheme="minorHAnsi"/>
          <w:sz w:val="22"/>
          <w:szCs w:val="22"/>
        </w:rPr>
      </w:pPr>
      <w:r>
        <w:rPr>
          <w:rFonts w:cstheme="minorHAnsi"/>
          <w:sz w:val="22"/>
          <w:szCs w:val="22"/>
        </w:rPr>
        <w:t>The Pension Fund Department</w:t>
      </w:r>
      <w:r w:rsidRPr="00FE77F6">
        <w:rPr>
          <w:rFonts w:cstheme="minorHAnsi"/>
          <w:sz w:val="22"/>
          <w:szCs w:val="22"/>
        </w:rPr>
        <w:t xml:space="preserve"> collects contributions from all the registered employees</w:t>
      </w:r>
      <w:r>
        <w:rPr>
          <w:rFonts w:cstheme="minorHAnsi"/>
          <w:sz w:val="22"/>
          <w:szCs w:val="22"/>
        </w:rPr>
        <w:t>.</w:t>
      </w:r>
    </w:p>
    <w:p w14:paraId="78CF5C17" w14:textId="77777777" w:rsidR="00B16F23" w:rsidRPr="00205204" w:rsidRDefault="00B16F23" w:rsidP="00D974DB">
      <w:pPr>
        <w:pStyle w:val="ListParagraph"/>
        <w:numPr>
          <w:ilvl w:val="0"/>
          <w:numId w:val="15"/>
        </w:numPr>
        <w:spacing w:after="240"/>
        <w:ind w:left="1195" w:hanging="475"/>
        <w:contextualSpacing w:val="0"/>
        <w:jc w:val="both"/>
        <w:rPr>
          <w:rFonts w:cstheme="minorHAnsi"/>
          <w:sz w:val="22"/>
          <w:szCs w:val="22"/>
        </w:rPr>
      </w:pPr>
      <w:r>
        <w:rPr>
          <w:rFonts w:cstheme="minorHAnsi"/>
          <w:sz w:val="22"/>
          <w:szCs w:val="22"/>
        </w:rPr>
        <w:t>The Pension Fund Department</w:t>
      </w:r>
      <w:r w:rsidRPr="00FE77F6">
        <w:rPr>
          <w:rFonts w:cstheme="minorHAnsi"/>
          <w:sz w:val="22"/>
          <w:szCs w:val="22"/>
        </w:rPr>
        <w:t xml:space="preserve"> receives government contributions in regular and timely manner</w:t>
      </w:r>
      <w:r>
        <w:rPr>
          <w:rFonts w:cstheme="minorHAnsi"/>
          <w:sz w:val="22"/>
          <w:szCs w:val="22"/>
        </w:rPr>
        <w:t>.</w:t>
      </w:r>
    </w:p>
    <w:p w14:paraId="460CCD79" w14:textId="77777777" w:rsidR="00B16F23" w:rsidRPr="00FE77F6" w:rsidRDefault="00B16F23" w:rsidP="00D974DB">
      <w:pPr>
        <w:pStyle w:val="ListParagraph"/>
        <w:numPr>
          <w:ilvl w:val="0"/>
          <w:numId w:val="5"/>
        </w:numPr>
        <w:spacing w:after="240"/>
        <w:ind w:left="0" w:firstLine="0"/>
        <w:contextualSpacing w:val="0"/>
        <w:jc w:val="both"/>
        <w:rPr>
          <w:rFonts w:cstheme="minorHAnsi"/>
          <w:sz w:val="22"/>
          <w:szCs w:val="22"/>
        </w:rPr>
      </w:pPr>
      <w:r w:rsidRPr="00FE77F6">
        <w:rPr>
          <w:rFonts w:cstheme="minorHAnsi"/>
          <w:sz w:val="22"/>
          <w:szCs w:val="22"/>
        </w:rPr>
        <w:t>The implementation details not mentioned here will be agreed and reflected in the POM.</w:t>
      </w:r>
      <w:r>
        <w:rPr>
          <w:rFonts w:cstheme="minorHAnsi"/>
          <w:sz w:val="22"/>
          <w:szCs w:val="22"/>
        </w:rPr>
        <w:t xml:space="preserve"> </w:t>
      </w:r>
    </w:p>
    <w:p w14:paraId="7433832E" w14:textId="77777777" w:rsidR="00B16F23" w:rsidRPr="00FE77F6" w:rsidRDefault="00B16F23" w:rsidP="00B16F23">
      <w:pPr>
        <w:keepNext/>
        <w:shd w:val="clear" w:color="auto" w:fill="DBE5F1" w:themeFill="accent1" w:themeFillTint="33"/>
        <w:rPr>
          <w:rFonts w:cstheme="minorHAnsi"/>
          <w:b/>
          <w:bCs/>
          <w:sz w:val="22"/>
          <w:szCs w:val="22"/>
        </w:rPr>
      </w:pPr>
      <w:r w:rsidRPr="00FE77F6">
        <w:rPr>
          <w:rFonts w:cstheme="minorHAnsi"/>
          <w:b/>
          <w:bCs/>
          <w:sz w:val="22"/>
          <w:szCs w:val="22"/>
        </w:rPr>
        <w:t>DLI 13: Improving wage bill management and transparency</w:t>
      </w:r>
    </w:p>
    <w:p w14:paraId="773C6EF3" w14:textId="77777777" w:rsidR="00B16F23" w:rsidRPr="00FE77F6" w:rsidRDefault="00B16F23" w:rsidP="00D974DB">
      <w:pPr>
        <w:pStyle w:val="ListParagraph"/>
        <w:numPr>
          <w:ilvl w:val="0"/>
          <w:numId w:val="5"/>
        </w:numPr>
        <w:spacing w:before="240" w:after="240"/>
        <w:ind w:left="0" w:firstLine="0"/>
        <w:contextualSpacing w:val="0"/>
        <w:jc w:val="both"/>
        <w:rPr>
          <w:rFonts w:cstheme="minorHAnsi"/>
          <w:sz w:val="22"/>
          <w:szCs w:val="22"/>
        </w:rPr>
      </w:pPr>
      <w:r w:rsidRPr="00FE77F6">
        <w:rPr>
          <w:rFonts w:cstheme="minorHAnsi"/>
          <w:b/>
          <w:bCs/>
          <w:sz w:val="22"/>
          <w:szCs w:val="22"/>
        </w:rPr>
        <w:t>Scope</w:t>
      </w:r>
      <w:r>
        <w:rPr>
          <w:rFonts w:cstheme="minorHAnsi"/>
          <w:b/>
          <w:bCs/>
          <w:sz w:val="22"/>
          <w:szCs w:val="22"/>
        </w:rPr>
        <w:t>.</w:t>
      </w:r>
      <w:r w:rsidRPr="00FE77F6">
        <w:rPr>
          <w:rFonts w:cstheme="minorHAnsi"/>
          <w:sz w:val="22"/>
          <w:szCs w:val="22"/>
        </w:rPr>
        <w:t xml:space="preserve"> This series of DLIs </w:t>
      </w:r>
      <w:r>
        <w:rPr>
          <w:rFonts w:cstheme="minorHAnsi"/>
          <w:sz w:val="22"/>
          <w:szCs w:val="22"/>
        </w:rPr>
        <w:t>is</w:t>
      </w:r>
      <w:r w:rsidRPr="00FE77F6">
        <w:rPr>
          <w:rFonts w:cstheme="minorHAnsi"/>
          <w:sz w:val="22"/>
          <w:szCs w:val="22"/>
        </w:rPr>
        <w:t xml:space="preserve"> focused on wage bill expenditures that are not on formalized systems and which are reported in the ‘</w:t>
      </w:r>
      <w:r>
        <w:rPr>
          <w:rFonts w:cstheme="minorHAnsi"/>
          <w:sz w:val="22"/>
          <w:szCs w:val="22"/>
        </w:rPr>
        <w:t>n</w:t>
      </w:r>
      <w:r w:rsidRPr="00FE77F6">
        <w:rPr>
          <w:rFonts w:cstheme="minorHAnsi"/>
          <w:sz w:val="22"/>
          <w:szCs w:val="22"/>
        </w:rPr>
        <w:t>on-</w:t>
      </w:r>
      <w:r>
        <w:rPr>
          <w:rFonts w:cstheme="minorHAnsi"/>
          <w:sz w:val="22"/>
          <w:szCs w:val="22"/>
        </w:rPr>
        <w:t>p</w:t>
      </w:r>
      <w:r w:rsidRPr="00FE77F6">
        <w:rPr>
          <w:rFonts w:cstheme="minorHAnsi"/>
          <w:sz w:val="22"/>
          <w:szCs w:val="22"/>
        </w:rPr>
        <w:t xml:space="preserve">ayroll </w:t>
      </w:r>
      <w:r>
        <w:rPr>
          <w:rFonts w:cstheme="minorHAnsi"/>
          <w:sz w:val="22"/>
          <w:szCs w:val="22"/>
        </w:rPr>
        <w:t>s</w:t>
      </w:r>
      <w:r w:rsidRPr="00FE77F6">
        <w:rPr>
          <w:rFonts w:cstheme="minorHAnsi"/>
          <w:sz w:val="22"/>
          <w:szCs w:val="22"/>
        </w:rPr>
        <w:t xml:space="preserve">ummary </w:t>
      </w:r>
      <w:r>
        <w:rPr>
          <w:rFonts w:cstheme="minorHAnsi"/>
          <w:sz w:val="22"/>
          <w:szCs w:val="22"/>
        </w:rPr>
        <w:t>r</w:t>
      </w:r>
      <w:r w:rsidRPr="00FE77F6">
        <w:rPr>
          <w:rFonts w:cstheme="minorHAnsi"/>
          <w:sz w:val="22"/>
          <w:szCs w:val="22"/>
        </w:rPr>
        <w:t xml:space="preserve">eport’ as part of the Government’s ECF monthly reporting package. </w:t>
      </w:r>
    </w:p>
    <w:p w14:paraId="64794833" w14:textId="77777777" w:rsidR="00B16F23" w:rsidRPr="00A44687" w:rsidRDefault="00B16F23" w:rsidP="00D974DB">
      <w:pPr>
        <w:pStyle w:val="ListParagraph"/>
        <w:numPr>
          <w:ilvl w:val="0"/>
          <w:numId w:val="5"/>
        </w:numPr>
        <w:spacing w:after="240"/>
        <w:ind w:left="0" w:firstLine="0"/>
        <w:contextualSpacing w:val="0"/>
        <w:jc w:val="both"/>
        <w:rPr>
          <w:rFonts w:cstheme="minorHAnsi"/>
          <w:sz w:val="22"/>
          <w:szCs w:val="22"/>
        </w:rPr>
      </w:pPr>
      <w:r w:rsidRPr="00FE77F6">
        <w:rPr>
          <w:rFonts w:cstheme="minorHAnsi"/>
          <w:sz w:val="22"/>
          <w:szCs w:val="22"/>
        </w:rPr>
        <w:t>By December 2021</w:t>
      </w:r>
      <w:r>
        <w:rPr>
          <w:rFonts w:cstheme="minorHAnsi"/>
          <w:sz w:val="22"/>
          <w:szCs w:val="22"/>
        </w:rPr>
        <w:t>,</w:t>
      </w:r>
      <w:r w:rsidRPr="00FE77F6">
        <w:rPr>
          <w:rFonts w:cstheme="minorHAnsi"/>
          <w:sz w:val="22"/>
          <w:szCs w:val="22"/>
        </w:rPr>
        <w:t xml:space="preserve"> </w:t>
      </w:r>
      <w:r>
        <w:rPr>
          <w:rFonts w:cstheme="minorHAnsi"/>
          <w:sz w:val="22"/>
          <w:szCs w:val="22"/>
        </w:rPr>
        <w:t xml:space="preserve">the </w:t>
      </w:r>
      <w:r w:rsidRPr="00FE77F6">
        <w:rPr>
          <w:rFonts w:cstheme="minorHAnsi"/>
          <w:sz w:val="22"/>
          <w:szCs w:val="22"/>
        </w:rPr>
        <w:t xml:space="preserve">IVA </w:t>
      </w:r>
      <w:r>
        <w:rPr>
          <w:rFonts w:cstheme="minorHAnsi"/>
          <w:sz w:val="22"/>
          <w:szCs w:val="22"/>
        </w:rPr>
        <w:t>will</w:t>
      </w:r>
      <w:r w:rsidRPr="00FE77F6">
        <w:rPr>
          <w:rFonts w:cstheme="minorHAnsi"/>
          <w:sz w:val="22"/>
          <w:szCs w:val="22"/>
        </w:rPr>
        <w:t xml:space="preserve"> acquire the review of the non-formalized wage bill</w:t>
      </w:r>
      <w:r>
        <w:rPr>
          <w:rFonts w:cstheme="minorHAnsi"/>
          <w:sz w:val="22"/>
          <w:szCs w:val="22"/>
        </w:rPr>
        <w:t xml:space="preserve">, which must include </w:t>
      </w:r>
      <w:r w:rsidRPr="00FE77F6">
        <w:rPr>
          <w:rFonts w:cstheme="minorHAnsi"/>
          <w:sz w:val="22"/>
          <w:szCs w:val="22"/>
        </w:rPr>
        <w:t xml:space="preserve"> the presentation of the dollar value and number of individuals for the non-formalized wage bill, by month, by MDA, </w:t>
      </w:r>
      <w:r>
        <w:rPr>
          <w:rFonts w:cstheme="minorHAnsi"/>
          <w:sz w:val="22"/>
          <w:szCs w:val="22"/>
        </w:rPr>
        <w:t xml:space="preserve">and </w:t>
      </w:r>
      <w:r w:rsidRPr="00FE77F6">
        <w:rPr>
          <w:rFonts w:cstheme="minorHAnsi"/>
          <w:sz w:val="22"/>
          <w:szCs w:val="22"/>
        </w:rPr>
        <w:t xml:space="preserve">by </w:t>
      </w:r>
      <w:r>
        <w:rPr>
          <w:rFonts w:cstheme="minorHAnsi"/>
          <w:sz w:val="22"/>
          <w:szCs w:val="22"/>
        </w:rPr>
        <w:t>six</w:t>
      </w:r>
      <w:r w:rsidRPr="00FE77F6">
        <w:rPr>
          <w:rFonts w:cstheme="minorHAnsi"/>
          <w:sz w:val="22"/>
          <w:szCs w:val="22"/>
        </w:rPr>
        <w:t>-digit Object Code, disaggregated by cadre, being a group of individuals that are managed under similar policies, processes</w:t>
      </w:r>
      <w:r>
        <w:rPr>
          <w:rFonts w:cstheme="minorHAnsi"/>
          <w:sz w:val="22"/>
          <w:szCs w:val="22"/>
        </w:rPr>
        <w:t>,</w:t>
      </w:r>
      <w:r w:rsidRPr="00FE77F6">
        <w:rPr>
          <w:rFonts w:cstheme="minorHAnsi"/>
          <w:sz w:val="22"/>
          <w:szCs w:val="22"/>
        </w:rPr>
        <w:t xml:space="preserve"> or practices. </w:t>
      </w:r>
      <w:r>
        <w:rPr>
          <w:rFonts w:cstheme="minorHAnsi"/>
          <w:sz w:val="22"/>
          <w:szCs w:val="22"/>
        </w:rPr>
        <w:t xml:space="preserve">The IVA will also acquire </w:t>
      </w:r>
      <w:r w:rsidRPr="00FE77F6">
        <w:rPr>
          <w:rFonts w:cstheme="minorHAnsi"/>
          <w:sz w:val="22"/>
          <w:szCs w:val="22"/>
        </w:rPr>
        <w:t>the reform action plan</w:t>
      </w:r>
      <w:r>
        <w:rPr>
          <w:rFonts w:cstheme="minorHAnsi"/>
          <w:sz w:val="22"/>
          <w:szCs w:val="22"/>
        </w:rPr>
        <w:t>, prepared based on the said review,</w:t>
      </w:r>
      <w:r w:rsidRPr="00FE77F6">
        <w:rPr>
          <w:rFonts w:cstheme="minorHAnsi"/>
          <w:sz w:val="22"/>
          <w:szCs w:val="22"/>
        </w:rPr>
        <w:t xml:space="preserve"> and documentation evidencing </w:t>
      </w:r>
      <w:r>
        <w:rPr>
          <w:rFonts w:cstheme="minorHAnsi"/>
          <w:sz w:val="22"/>
          <w:szCs w:val="22"/>
        </w:rPr>
        <w:t>C</w:t>
      </w:r>
      <w:r w:rsidRPr="00FE77F6">
        <w:rPr>
          <w:rFonts w:cstheme="minorHAnsi"/>
          <w:sz w:val="22"/>
          <w:szCs w:val="22"/>
        </w:rPr>
        <w:t>abinet endorsement. The reform plan must include actions to</w:t>
      </w:r>
      <w:r>
        <w:rPr>
          <w:rFonts w:cstheme="minorHAnsi"/>
          <w:sz w:val="22"/>
          <w:szCs w:val="22"/>
        </w:rPr>
        <w:t xml:space="preserve"> </w:t>
      </w:r>
      <w:r w:rsidRPr="00FE77F6">
        <w:rPr>
          <w:rFonts w:cstheme="minorHAnsi"/>
          <w:sz w:val="22"/>
          <w:szCs w:val="22"/>
        </w:rPr>
        <w:t>(a)</w:t>
      </w:r>
      <w:r>
        <w:rPr>
          <w:rFonts w:cstheme="minorHAnsi"/>
          <w:sz w:val="22"/>
          <w:szCs w:val="22"/>
        </w:rPr>
        <w:t xml:space="preserve"> </w:t>
      </w:r>
      <w:r w:rsidRPr="00FE77F6">
        <w:rPr>
          <w:rFonts w:cstheme="minorHAnsi"/>
          <w:sz w:val="22"/>
          <w:szCs w:val="22"/>
        </w:rPr>
        <w:t xml:space="preserve">improve the granularity of the accounting of the wage bill, </w:t>
      </w:r>
      <w:r>
        <w:rPr>
          <w:rFonts w:cstheme="minorHAnsi"/>
          <w:sz w:val="22"/>
          <w:szCs w:val="22"/>
        </w:rPr>
        <w:t>(</w:t>
      </w:r>
      <w:r w:rsidRPr="00FE77F6">
        <w:rPr>
          <w:rFonts w:cstheme="minorHAnsi"/>
          <w:sz w:val="22"/>
          <w:szCs w:val="22"/>
        </w:rPr>
        <w:t xml:space="preserve">b) enhance the format of the reporting and disclosure; </w:t>
      </w:r>
      <w:r>
        <w:rPr>
          <w:rFonts w:cstheme="minorHAnsi"/>
          <w:sz w:val="22"/>
          <w:szCs w:val="22"/>
        </w:rPr>
        <w:t xml:space="preserve">(c) </w:t>
      </w:r>
      <w:r w:rsidRPr="00A44687">
        <w:rPr>
          <w:rFonts w:cstheme="minorHAnsi"/>
          <w:sz w:val="22"/>
          <w:szCs w:val="22"/>
        </w:rPr>
        <w:t>map all personnel under the non-formal wage bill to the existing cadres as per the human resources and forma</w:t>
      </w:r>
      <w:r>
        <w:rPr>
          <w:rFonts w:cstheme="minorHAnsi"/>
          <w:sz w:val="22"/>
          <w:szCs w:val="22"/>
        </w:rPr>
        <w:t>l</w:t>
      </w:r>
      <w:r w:rsidRPr="00A44687">
        <w:rPr>
          <w:rFonts w:cstheme="minorHAnsi"/>
          <w:sz w:val="22"/>
          <w:szCs w:val="22"/>
        </w:rPr>
        <w:t xml:space="preserve"> payroll policies and practices, </w:t>
      </w:r>
      <w:r>
        <w:rPr>
          <w:rFonts w:cstheme="minorHAnsi"/>
          <w:sz w:val="22"/>
          <w:szCs w:val="22"/>
        </w:rPr>
        <w:t xml:space="preserve">and </w:t>
      </w:r>
      <w:r w:rsidRPr="00FE77F6">
        <w:rPr>
          <w:rFonts w:cstheme="minorHAnsi"/>
          <w:sz w:val="22"/>
          <w:szCs w:val="22"/>
        </w:rPr>
        <w:t>(</w:t>
      </w:r>
      <w:r>
        <w:rPr>
          <w:rFonts w:cstheme="minorHAnsi"/>
          <w:sz w:val="22"/>
          <w:szCs w:val="22"/>
        </w:rPr>
        <w:t>d</w:t>
      </w:r>
      <w:r w:rsidRPr="00FE77F6">
        <w:rPr>
          <w:rFonts w:cstheme="minorHAnsi"/>
          <w:sz w:val="22"/>
          <w:szCs w:val="22"/>
        </w:rPr>
        <w:t xml:space="preserve">) reduce the amount and share of wages and allowances on expenditures for the non-formalized payroll. The action plan is to include </w:t>
      </w:r>
      <w:r w:rsidRPr="00A44687">
        <w:rPr>
          <w:rFonts w:cstheme="minorHAnsi"/>
          <w:sz w:val="22"/>
          <w:szCs w:val="22"/>
        </w:rPr>
        <w:t>establishing</w:t>
      </w:r>
      <w:r w:rsidRPr="00FE77F6">
        <w:rPr>
          <w:rFonts w:cstheme="minorHAnsi"/>
          <w:sz w:val="22"/>
          <w:szCs w:val="22"/>
        </w:rPr>
        <w:t xml:space="preserve"> a recurrent approach to monthly analysis and reporting of the dollar value and number of individuals for the non-formalized wage bill, by MDA, by </w:t>
      </w:r>
      <w:r>
        <w:rPr>
          <w:rFonts w:cstheme="minorHAnsi"/>
          <w:sz w:val="22"/>
          <w:szCs w:val="22"/>
        </w:rPr>
        <w:t>six</w:t>
      </w:r>
      <w:r w:rsidRPr="00FE77F6">
        <w:rPr>
          <w:rFonts w:cstheme="minorHAnsi"/>
          <w:sz w:val="22"/>
          <w:szCs w:val="22"/>
        </w:rPr>
        <w:t>-digit Object Code, disaggregated by cadre.</w:t>
      </w:r>
    </w:p>
    <w:p w14:paraId="1BD3CA56" w14:textId="77777777" w:rsidR="00B16F23" w:rsidRPr="00FE77F6" w:rsidRDefault="00B16F23" w:rsidP="00B16F23">
      <w:pPr>
        <w:pStyle w:val="ListParagraph"/>
        <w:spacing w:after="240"/>
        <w:ind w:left="0"/>
        <w:contextualSpacing w:val="0"/>
        <w:jc w:val="both"/>
        <w:rPr>
          <w:rFonts w:cstheme="minorHAnsi"/>
          <w:sz w:val="22"/>
          <w:szCs w:val="22"/>
        </w:rPr>
      </w:pPr>
    </w:p>
    <w:p w14:paraId="2705F7BF" w14:textId="77777777" w:rsidR="00B16F23" w:rsidRPr="00FE77F6" w:rsidRDefault="00B16F23" w:rsidP="00D974DB">
      <w:pPr>
        <w:pStyle w:val="ListParagraph"/>
        <w:numPr>
          <w:ilvl w:val="0"/>
          <w:numId w:val="5"/>
        </w:numPr>
        <w:spacing w:after="240"/>
        <w:ind w:left="0" w:firstLine="0"/>
        <w:contextualSpacing w:val="0"/>
        <w:jc w:val="both"/>
        <w:rPr>
          <w:rFonts w:cstheme="minorHAnsi"/>
          <w:sz w:val="22"/>
          <w:szCs w:val="22"/>
        </w:rPr>
      </w:pPr>
      <w:r w:rsidRPr="00FE77F6">
        <w:rPr>
          <w:rFonts w:cstheme="minorHAnsi"/>
          <w:sz w:val="22"/>
          <w:szCs w:val="22"/>
        </w:rPr>
        <w:t>The implementation details not mentioned here will be agreed and reflected in the POM.</w:t>
      </w:r>
      <w:r>
        <w:rPr>
          <w:rFonts w:cstheme="minorHAnsi"/>
          <w:sz w:val="22"/>
          <w:szCs w:val="22"/>
        </w:rPr>
        <w:t xml:space="preserve"> </w:t>
      </w:r>
    </w:p>
    <w:p w14:paraId="2AFE1E33" w14:textId="77777777" w:rsidR="00B16F23" w:rsidRPr="00FE77F6" w:rsidRDefault="00B16F23" w:rsidP="00B16F23">
      <w:pPr>
        <w:keepNext/>
        <w:shd w:val="clear" w:color="auto" w:fill="DBE5F1" w:themeFill="accent1" w:themeFillTint="33"/>
        <w:rPr>
          <w:rFonts w:cstheme="minorHAnsi"/>
          <w:b/>
          <w:bCs/>
          <w:sz w:val="22"/>
          <w:szCs w:val="22"/>
        </w:rPr>
      </w:pPr>
      <w:r w:rsidRPr="00FE77F6">
        <w:rPr>
          <w:rFonts w:cstheme="minorHAnsi"/>
          <w:b/>
          <w:bCs/>
          <w:sz w:val="22"/>
          <w:szCs w:val="22"/>
        </w:rPr>
        <w:t>DLI 14: Harmonizing CoA and reliable and timely consolidated fiscal reports</w:t>
      </w:r>
      <w:r>
        <w:rPr>
          <w:rFonts w:cstheme="minorHAnsi"/>
          <w:b/>
          <w:bCs/>
          <w:sz w:val="22"/>
          <w:szCs w:val="22"/>
        </w:rPr>
        <w:t xml:space="preserve"> </w:t>
      </w:r>
    </w:p>
    <w:p w14:paraId="71D94CC3" w14:textId="77777777" w:rsidR="00B16F23" w:rsidRPr="00FE77F6" w:rsidRDefault="00B16F23" w:rsidP="00D974DB">
      <w:pPr>
        <w:pStyle w:val="ListParagraph"/>
        <w:numPr>
          <w:ilvl w:val="0"/>
          <w:numId w:val="5"/>
        </w:numPr>
        <w:spacing w:before="240" w:after="240"/>
        <w:ind w:left="0" w:firstLine="0"/>
        <w:contextualSpacing w:val="0"/>
        <w:jc w:val="both"/>
        <w:rPr>
          <w:rFonts w:cstheme="minorHAnsi"/>
          <w:sz w:val="22"/>
          <w:szCs w:val="22"/>
        </w:rPr>
      </w:pPr>
      <w:r>
        <w:rPr>
          <w:rFonts w:cstheme="minorHAnsi"/>
          <w:sz w:val="22"/>
          <w:szCs w:val="22"/>
        </w:rPr>
        <w:t>B</w:t>
      </w:r>
      <w:r w:rsidRPr="00FE77F6">
        <w:rPr>
          <w:rFonts w:cstheme="minorHAnsi"/>
          <w:sz w:val="22"/>
          <w:szCs w:val="22"/>
        </w:rPr>
        <w:t>y February 2021</w:t>
      </w:r>
      <w:r>
        <w:rPr>
          <w:rFonts w:cstheme="minorHAnsi"/>
          <w:sz w:val="22"/>
          <w:szCs w:val="22"/>
        </w:rPr>
        <w:t>,</w:t>
      </w:r>
      <w:r w:rsidRPr="00FE77F6">
        <w:rPr>
          <w:rFonts w:cstheme="minorHAnsi"/>
          <w:sz w:val="22"/>
          <w:szCs w:val="22"/>
        </w:rPr>
        <w:t xml:space="preserve"> </w:t>
      </w:r>
      <w:r>
        <w:rPr>
          <w:rFonts w:cstheme="minorHAnsi"/>
          <w:sz w:val="22"/>
          <w:szCs w:val="22"/>
        </w:rPr>
        <w:t>t</w:t>
      </w:r>
      <w:r w:rsidRPr="00FE77F6">
        <w:rPr>
          <w:rFonts w:cstheme="minorHAnsi"/>
          <w:sz w:val="22"/>
          <w:szCs w:val="22"/>
        </w:rPr>
        <w:t xml:space="preserve">he PIU will obtain from </w:t>
      </w:r>
      <w:r>
        <w:rPr>
          <w:rFonts w:cstheme="minorHAnsi"/>
          <w:sz w:val="22"/>
          <w:szCs w:val="22"/>
        </w:rPr>
        <w:t xml:space="preserve">the </w:t>
      </w:r>
      <w:r w:rsidRPr="00FE77F6">
        <w:rPr>
          <w:rFonts w:cstheme="minorHAnsi"/>
          <w:sz w:val="22"/>
          <w:szCs w:val="22"/>
        </w:rPr>
        <w:t xml:space="preserve">FGS </w:t>
      </w:r>
      <w:r>
        <w:rPr>
          <w:rFonts w:cstheme="minorHAnsi"/>
          <w:sz w:val="22"/>
          <w:szCs w:val="22"/>
        </w:rPr>
        <w:t>MoF</w:t>
      </w:r>
      <w:r w:rsidRPr="00FE77F6">
        <w:rPr>
          <w:rFonts w:cstheme="minorHAnsi"/>
          <w:sz w:val="22"/>
          <w:szCs w:val="22"/>
        </w:rPr>
        <w:t xml:space="preserve"> an issued policy for the harmonization of BC/CoA</w:t>
      </w:r>
      <w:r>
        <w:rPr>
          <w:rFonts w:cstheme="minorHAnsi"/>
          <w:sz w:val="22"/>
          <w:szCs w:val="22"/>
        </w:rPr>
        <w:t>;</w:t>
      </w:r>
      <w:r w:rsidRPr="00FE77F6">
        <w:rPr>
          <w:rFonts w:cstheme="minorHAnsi"/>
          <w:sz w:val="22"/>
          <w:szCs w:val="22"/>
        </w:rPr>
        <w:t xml:space="preserve"> standardization of reporting formats, collection, and consolidation of budget data</w:t>
      </w:r>
      <w:r>
        <w:rPr>
          <w:rFonts w:cstheme="minorHAnsi"/>
          <w:sz w:val="22"/>
          <w:szCs w:val="22"/>
        </w:rPr>
        <w:t>;</w:t>
      </w:r>
      <w:r w:rsidRPr="00FE77F6">
        <w:rPr>
          <w:rFonts w:cstheme="minorHAnsi"/>
          <w:sz w:val="22"/>
          <w:szCs w:val="22"/>
        </w:rPr>
        <w:t xml:space="preserve"> and generation of reliable and timely financial/budget reports for different needs. </w:t>
      </w:r>
    </w:p>
    <w:p w14:paraId="3862C48F" w14:textId="77777777" w:rsidR="00B16F23" w:rsidRPr="00FE77F6" w:rsidRDefault="00B16F23" w:rsidP="00D974DB">
      <w:pPr>
        <w:pStyle w:val="ListParagraph"/>
        <w:numPr>
          <w:ilvl w:val="0"/>
          <w:numId w:val="5"/>
        </w:numPr>
        <w:spacing w:after="240"/>
        <w:ind w:left="0" w:firstLine="0"/>
        <w:contextualSpacing w:val="0"/>
        <w:jc w:val="both"/>
        <w:rPr>
          <w:rFonts w:cstheme="minorHAnsi"/>
          <w:sz w:val="22"/>
          <w:szCs w:val="22"/>
        </w:rPr>
      </w:pPr>
      <w:r w:rsidRPr="00FE77F6">
        <w:rPr>
          <w:rFonts w:cstheme="minorHAnsi"/>
          <w:sz w:val="22"/>
          <w:szCs w:val="22"/>
        </w:rPr>
        <w:t>By February 2021</w:t>
      </w:r>
      <w:r>
        <w:rPr>
          <w:rFonts w:cstheme="minorHAnsi"/>
          <w:sz w:val="22"/>
          <w:szCs w:val="22"/>
        </w:rPr>
        <w:t>,</w:t>
      </w:r>
      <w:r w:rsidRPr="00FE77F6">
        <w:rPr>
          <w:rFonts w:cstheme="minorHAnsi"/>
          <w:sz w:val="22"/>
          <w:szCs w:val="22"/>
        </w:rPr>
        <w:t xml:space="preserve"> </w:t>
      </w:r>
      <w:r>
        <w:rPr>
          <w:rFonts w:cstheme="minorHAnsi"/>
          <w:sz w:val="22"/>
          <w:szCs w:val="22"/>
        </w:rPr>
        <w:t>t</w:t>
      </w:r>
      <w:r w:rsidRPr="00FE77F6">
        <w:rPr>
          <w:rFonts w:cstheme="minorHAnsi"/>
          <w:sz w:val="22"/>
          <w:szCs w:val="22"/>
        </w:rPr>
        <w:t xml:space="preserve">he PIU will verify that the functions of the Financial Reporting Unit of the </w:t>
      </w:r>
      <w:r>
        <w:rPr>
          <w:rFonts w:cstheme="minorHAnsi"/>
          <w:sz w:val="22"/>
          <w:szCs w:val="22"/>
        </w:rPr>
        <w:t>MoF</w:t>
      </w:r>
      <w:r w:rsidRPr="00FE77F6">
        <w:rPr>
          <w:rFonts w:cstheme="minorHAnsi"/>
          <w:sz w:val="22"/>
          <w:szCs w:val="22"/>
        </w:rPr>
        <w:t xml:space="preserve"> are defined and </w:t>
      </w:r>
      <w:r>
        <w:rPr>
          <w:rFonts w:cstheme="minorHAnsi"/>
          <w:sz w:val="22"/>
          <w:szCs w:val="22"/>
        </w:rPr>
        <w:t xml:space="preserve">responsibilities </w:t>
      </w:r>
      <w:r w:rsidRPr="00FE77F6">
        <w:rPr>
          <w:rFonts w:cstheme="minorHAnsi"/>
          <w:sz w:val="22"/>
          <w:szCs w:val="22"/>
        </w:rPr>
        <w:t xml:space="preserve">for </w:t>
      </w:r>
      <w:r>
        <w:rPr>
          <w:rFonts w:cstheme="minorHAnsi"/>
          <w:sz w:val="22"/>
          <w:szCs w:val="22"/>
        </w:rPr>
        <w:t>key</w:t>
      </w:r>
      <w:r w:rsidRPr="00FE77F6">
        <w:rPr>
          <w:rFonts w:cstheme="minorHAnsi"/>
          <w:sz w:val="22"/>
          <w:szCs w:val="22"/>
        </w:rPr>
        <w:t xml:space="preserve"> position</w:t>
      </w:r>
      <w:r>
        <w:rPr>
          <w:rFonts w:cstheme="minorHAnsi"/>
          <w:sz w:val="22"/>
          <w:szCs w:val="22"/>
        </w:rPr>
        <w:t>s</w:t>
      </w:r>
      <w:r w:rsidRPr="00FE77F6">
        <w:rPr>
          <w:rFonts w:cstheme="minorHAnsi"/>
          <w:sz w:val="22"/>
          <w:szCs w:val="22"/>
        </w:rPr>
        <w:t xml:space="preserve"> in the unit are drafted and approved by the respective authority. The Financial Reporting Unit is expected to be composed of a </w:t>
      </w:r>
      <w:r>
        <w:rPr>
          <w:rFonts w:cstheme="minorHAnsi"/>
          <w:sz w:val="22"/>
          <w:szCs w:val="22"/>
        </w:rPr>
        <w:t>u</w:t>
      </w:r>
      <w:r w:rsidRPr="00FE77F6">
        <w:rPr>
          <w:rFonts w:cstheme="minorHAnsi"/>
          <w:sz w:val="22"/>
          <w:szCs w:val="22"/>
        </w:rPr>
        <w:t xml:space="preserve">nit </w:t>
      </w:r>
      <w:r>
        <w:rPr>
          <w:rFonts w:cstheme="minorHAnsi"/>
          <w:sz w:val="22"/>
          <w:szCs w:val="22"/>
        </w:rPr>
        <w:t>h</w:t>
      </w:r>
      <w:r w:rsidRPr="00FE77F6">
        <w:rPr>
          <w:rFonts w:cstheme="minorHAnsi"/>
          <w:sz w:val="22"/>
          <w:szCs w:val="22"/>
        </w:rPr>
        <w:t xml:space="preserve">ead and two </w:t>
      </w:r>
      <w:r>
        <w:rPr>
          <w:rFonts w:cstheme="minorHAnsi"/>
          <w:sz w:val="22"/>
          <w:szCs w:val="22"/>
        </w:rPr>
        <w:t>s</w:t>
      </w:r>
      <w:r w:rsidRPr="00FE77F6">
        <w:rPr>
          <w:rFonts w:cstheme="minorHAnsi"/>
          <w:sz w:val="22"/>
          <w:szCs w:val="22"/>
        </w:rPr>
        <w:t>pecialists</w:t>
      </w:r>
      <w:r>
        <w:rPr>
          <w:rFonts w:cstheme="minorHAnsi"/>
          <w:sz w:val="22"/>
          <w:szCs w:val="22"/>
        </w:rPr>
        <w:t xml:space="preserve"> from GGS MoF Budget Department and FGS Accountant General’s Office</w:t>
      </w:r>
      <w:r w:rsidRPr="00FE77F6">
        <w:rPr>
          <w:rFonts w:cstheme="minorHAnsi"/>
          <w:sz w:val="22"/>
          <w:szCs w:val="22"/>
        </w:rPr>
        <w:t xml:space="preserve"> to start with. This team could be expanded in the future, if there is a need. </w:t>
      </w:r>
    </w:p>
    <w:p w14:paraId="401B7532" w14:textId="77777777" w:rsidR="00B16F23" w:rsidRPr="00205204" w:rsidRDefault="00B16F23" w:rsidP="00D974DB">
      <w:pPr>
        <w:pStyle w:val="ListParagraph"/>
        <w:numPr>
          <w:ilvl w:val="0"/>
          <w:numId w:val="5"/>
        </w:numPr>
        <w:spacing w:after="240"/>
        <w:ind w:left="0" w:firstLine="0"/>
        <w:contextualSpacing w:val="0"/>
        <w:jc w:val="both"/>
        <w:rPr>
          <w:rFonts w:cstheme="minorHAnsi"/>
          <w:sz w:val="22"/>
          <w:szCs w:val="22"/>
        </w:rPr>
      </w:pPr>
      <w:r w:rsidRPr="00FE77F6">
        <w:rPr>
          <w:rFonts w:cstheme="minorHAnsi"/>
          <w:sz w:val="22"/>
          <w:szCs w:val="22"/>
        </w:rPr>
        <w:t>By April 2021</w:t>
      </w:r>
      <w:r>
        <w:rPr>
          <w:rFonts w:cstheme="minorHAnsi"/>
          <w:sz w:val="22"/>
          <w:szCs w:val="22"/>
        </w:rPr>
        <w:t>,</w:t>
      </w:r>
      <w:r w:rsidRPr="00FE77F6">
        <w:rPr>
          <w:rFonts w:cstheme="minorHAnsi"/>
          <w:sz w:val="22"/>
          <w:szCs w:val="22"/>
        </w:rPr>
        <w:t xml:space="preserve"> </w:t>
      </w:r>
      <w:r>
        <w:rPr>
          <w:rFonts w:cstheme="minorHAnsi"/>
          <w:sz w:val="22"/>
          <w:szCs w:val="22"/>
        </w:rPr>
        <w:t>t</w:t>
      </w:r>
      <w:r w:rsidRPr="00FE77F6">
        <w:rPr>
          <w:rFonts w:cstheme="minorHAnsi"/>
          <w:sz w:val="22"/>
          <w:szCs w:val="22"/>
        </w:rPr>
        <w:t>he IVA will obtain from the Financial Reporting Unit duly adopted documents that describe (</w:t>
      </w:r>
      <w:r>
        <w:rPr>
          <w:rFonts w:cstheme="minorHAnsi"/>
          <w:sz w:val="22"/>
          <w:szCs w:val="22"/>
        </w:rPr>
        <w:t>a</w:t>
      </w:r>
      <w:r w:rsidRPr="00FE77F6">
        <w:rPr>
          <w:rFonts w:cstheme="minorHAnsi"/>
          <w:sz w:val="22"/>
          <w:szCs w:val="22"/>
        </w:rPr>
        <w:t>) a harmonized/unified BC/CoA (</w:t>
      </w:r>
      <w:r>
        <w:rPr>
          <w:rFonts w:cstheme="minorHAnsi"/>
          <w:sz w:val="22"/>
          <w:szCs w:val="22"/>
        </w:rPr>
        <w:t>b</w:t>
      </w:r>
      <w:r w:rsidRPr="00FE77F6">
        <w:rPr>
          <w:rFonts w:cstheme="minorHAnsi"/>
          <w:sz w:val="22"/>
          <w:szCs w:val="22"/>
        </w:rPr>
        <w:t xml:space="preserve">) version control mechanisms to manage the expansion of unified CoA in line </w:t>
      </w:r>
      <w:r w:rsidRPr="00FE77F6">
        <w:rPr>
          <w:rFonts w:cstheme="minorHAnsi"/>
          <w:sz w:val="22"/>
          <w:szCs w:val="22"/>
        </w:rPr>
        <w:lastRenderedPageBreak/>
        <w:t xml:space="preserve">with the requirements </w:t>
      </w:r>
      <w:r w:rsidRPr="00482F99">
        <w:rPr>
          <w:rFonts w:cstheme="minorHAnsi"/>
          <w:sz w:val="22"/>
          <w:szCs w:val="22"/>
        </w:rPr>
        <w:t>of the public bodies in the FGS, FMSs and local governments</w:t>
      </w:r>
      <w:r>
        <w:rPr>
          <w:rFonts w:cstheme="minorHAnsi"/>
          <w:sz w:val="22"/>
          <w:szCs w:val="22"/>
        </w:rPr>
        <w:t>,</w:t>
      </w:r>
      <w:r w:rsidRPr="00FE77F6">
        <w:rPr>
          <w:rFonts w:cstheme="minorHAnsi"/>
          <w:sz w:val="22"/>
          <w:szCs w:val="22"/>
        </w:rPr>
        <w:t xml:space="preserve"> </w:t>
      </w:r>
      <w:r>
        <w:rPr>
          <w:rFonts w:cstheme="minorHAnsi"/>
          <w:sz w:val="22"/>
          <w:szCs w:val="22"/>
        </w:rPr>
        <w:t xml:space="preserve">and </w:t>
      </w:r>
      <w:r w:rsidRPr="00FE77F6">
        <w:rPr>
          <w:rFonts w:cstheme="minorHAnsi"/>
          <w:sz w:val="22"/>
          <w:szCs w:val="22"/>
        </w:rPr>
        <w:t>(</w:t>
      </w:r>
      <w:r>
        <w:rPr>
          <w:rFonts w:cstheme="minorHAnsi"/>
          <w:sz w:val="22"/>
          <w:szCs w:val="22"/>
        </w:rPr>
        <w:t>c</w:t>
      </w:r>
      <w:r w:rsidRPr="00FE77F6">
        <w:rPr>
          <w:rFonts w:cstheme="minorHAnsi"/>
          <w:sz w:val="22"/>
          <w:szCs w:val="22"/>
        </w:rPr>
        <w:t xml:space="preserve">) standard reporting formats to collect and consolidate budget results from </w:t>
      </w:r>
      <w:r w:rsidRPr="00205204">
        <w:t>the FMIS platforms of the FGS and FMSs and other sources/platforms</w:t>
      </w:r>
      <w:r w:rsidRPr="00205204">
        <w:rPr>
          <w:rFonts w:cstheme="minorHAnsi"/>
          <w:sz w:val="22"/>
          <w:szCs w:val="22"/>
        </w:rPr>
        <w:t>.</w:t>
      </w:r>
    </w:p>
    <w:p w14:paraId="786BD16F" w14:textId="77777777" w:rsidR="00B16F23" w:rsidRPr="00FE77F6" w:rsidRDefault="00B16F23" w:rsidP="00D974DB">
      <w:pPr>
        <w:pStyle w:val="ListParagraph"/>
        <w:numPr>
          <w:ilvl w:val="0"/>
          <w:numId w:val="5"/>
        </w:numPr>
        <w:spacing w:after="240"/>
        <w:ind w:left="0" w:firstLine="0"/>
        <w:contextualSpacing w:val="0"/>
        <w:jc w:val="both"/>
        <w:rPr>
          <w:rFonts w:cstheme="minorHAnsi"/>
          <w:sz w:val="22"/>
          <w:szCs w:val="22"/>
        </w:rPr>
      </w:pPr>
      <w:r w:rsidRPr="00FE77F6">
        <w:rPr>
          <w:rFonts w:cstheme="minorHAnsi"/>
          <w:sz w:val="22"/>
          <w:szCs w:val="22"/>
        </w:rPr>
        <w:t>By December 2021</w:t>
      </w:r>
      <w:r>
        <w:rPr>
          <w:rFonts w:cstheme="minorHAnsi"/>
          <w:sz w:val="22"/>
          <w:szCs w:val="22"/>
        </w:rPr>
        <w:t>,</w:t>
      </w:r>
      <w:r w:rsidRPr="00FE77F6">
        <w:rPr>
          <w:rFonts w:cstheme="minorHAnsi"/>
          <w:sz w:val="22"/>
          <w:szCs w:val="22"/>
        </w:rPr>
        <w:t xml:space="preserve"> </w:t>
      </w:r>
      <w:r>
        <w:rPr>
          <w:rFonts w:cstheme="minorHAnsi"/>
          <w:sz w:val="22"/>
          <w:szCs w:val="22"/>
        </w:rPr>
        <w:t>t</w:t>
      </w:r>
      <w:r w:rsidRPr="00FE77F6">
        <w:rPr>
          <w:rFonts w:cstheme="minorHAnsi"/>
          <w:sz w:val="22"/>
          <w:szCs w:val="22"/>
        </w:rPr>
        <w:t>he IVA will obtain relevant budget documentation and verify that the new CoA is used in 2022 budget preparation</w:t>
      </w:r>
      <w:r>
        <w:rPr>
          <w:rFonts w:cstheme="minorHAnsi"/>
          <w:sz w:val="22"/>
          <w:szCs w:val="22"/>
        </w:rPr>
        <w:t xml:space="preserve">. </w:t>
      </w:r>
      <w:r w:rsidRPr="00FE77F6">
        <w:rPr>
          <w:rFonts w:cstheme="minorHAnsi"/>
          <w:sz w:val="22"/>
          <w:szCs w:val="22"/>
        </w:rPr>
        <w:t xml:space="preserve">The IVA will also </w:t>
      </w:r>
      <w:r>
        <w:rPr>
          <w:rFonts w:cstheme="minorHAnsi"/>
          <w:sz w:val="22"/>
          <w:szCs w:val="22"/>
        </w:rPr>
        <w:t xml:space="preserve">review </w:t>
      </w:r>
      <w:r w:rsidRPr="00502EE4">
        <w:rPr>
          <w:rFonts w:cstheme="minorHAnsi"/>
          <w:sz w:val="22"/>
          <w:szCs w:val="22"/>
        </w:rPr>
        <w:t xml:space="preserve"> FMIS platforms of the FGS and FMSs </w:t>
      </w:r>
      <w:r>
        <w:rPr>
          <w:rFonts w:cstheme="minorHAnsi"/>
          <w:sz w:val="22"/>
          <w:szCs w:val="22"/>
        </w:rPr>
        <w:t xml:space="preserve">to verify that they </w:t>
      </w:r>
      <w:r w:rsidRPr="00502EE4">
        <w:rPr>
          <w:rFonts w:cstheme="minorHAnsi"/>
          <w:sz w:val="22"/>
          <w:szCs w:val="22"/>
        </w:rPr>
        <w:t>are adjusted to use new CoA for 2022 budget execution</w:t>
      </w:r>
      <w:r>
        <w:rPr>
          <w:rFonts w:cstheme="minorHAnsi"/>
          <w:sz w:val="22"/>
          <w:szCs w:val="22"/>
        </w:rPr>
        <w:t xml:space="preserve"> and that at least one monthly report using the new COA is produced through the FMIS platforms and is </w:t>
      </w:r>
      <w:r w:rsidRPr="007B713A">
        <w:rPr>
          <w:rFonts w:cstheme="minorHAnsi"/>
          <w:sz w:val="22"/>
          <w:szCs w:val="22"/>
        </w:rPr>
        <w:t>publish</w:t>
      </w:r>
      <w:r>
        <w:rPr>
          <w:rFonts w:cstheme="minorHAnsi"/>
          <w:sz w:val="22"/>
          <w:szCs w:val="22"/>
        </w:rPr>
        <w:t xml:space="preserve">ed </w:t>
      </w:r>
      <w:r w:rsidRPr="007B713A">
        <w:rPr>
          <w:rFonts w:cstheme="minorHAnsi"/>
          <w:sz w:val="22"/>
          <w:szCs w:val="22"/>
        </w:rPr>
        <w:t>on the MoF website in line with the policy document starting from January 1, 2022</w:t>
      </w:r>
      <w:r>
        <w:rPr>
          <w:rFonts w:cstheme="minorHAnsi"/>
          <w:sz w:val="22"/>
          <w:szCs w:val="22"/>
        </w:rPr>
        <w:t>.</w:t>
      </w:r>
    </w:p>
    <w:p w14:paraId="5B4E7A18" w14:textId="77777777" w:rsidR="00B16F23" w:rsidRPr="00FE77F6" w:rsidRDefault="00B16F23" w:rsidP="00D974DB">
      <w:pPr>
        <w:pStyle w:val="ListParagraph"/>
        <w:numPr>
          <w:ilvl w:val="0"/>
          <w:numId w:val="5"/>
        </w:numPr>
        <w:spacing w:after="240"/>
        <w:ind w:left="0" w:firstLine="0"/>
        <w:contextualSpacing w:val="0"/>
        <w:jc w:val="both"/>
        <w:rPr>
          <w:rFonts w:cstheme="minorHAnsi"/>
          <w:sz w:val="22"/>
          <w:szCs w:val="22"/>
        </w:rPr>
      </w:pPr>
      <w:r w:rsidRPr="00FE77F6">
        <w:rPr>
          <w:rFonts w:cstheme="minorHAnsi"/>
          <w:sz w:val="22"/>
          <w:szCs w:val="22"/>
        </w:rPr>
        <w:t>The implementation details not mentioned here will be agreed and reflected in the POM.</w:t>
      </w:r>
      <w:r>
        <w:rPr>
          <w:rFonts w:cstheme="minorHAnsi"/>
          <w:sz w:val="22"/>
          <w:szCs w:val="22"/>
        </w:rPr>
        <w:t xml:space="preserve"> </w:t>
      </w:r>
    </w:p>
    <w:p w14:paraId="6CAEE4C6" w14:textId="77777777" w:rsidR="00B16F23" w:rsidRPr="00FE77F6" w:rsidRDefault="00B16F23" w:rsidP="00B16F23">
      <w:pPr>
        <w:keepNext/>
        <w:shd w:val="clear" w:color="auto" w:fill="DBE5F1" w:themeFill="accent1" w:themeFillTint="33"/>
        <w:rPr>
          <w:rFonts w:cstheme="minorHAnsi"/>
          <w:b/>
          <w:bCs/>
          <w:sz w:val="22"/>
          <w:szCs w:val="22"/>
        </w:rPr>
      </w:pPr>
      <w:r w:rsidRPr="00FE77F6">
        <w:rPr>
          <w:rFonts w:cstheme="minorHAnsi"/>
          <w:b/>
          <w:bCs/>
          <w:sz w:val="22"/>
          <w:szCs w:val="22"/>
        </w:rPr>
        <w:t>DLI 15: Enhancing health service delivery systems</w:t>
      </w:r>
    </w:p>
    <w:p w14:paraId="0C8B7C04" w14:textId="77777777" w:rsidR="00B16F23" w:rsidRPr="00FE77F6" w:rsidRDefault="00B16F23" w:rsidP="00D974DB">
      <w:pPr>
        <w:pStyle w:val="ListParagraph"/>
        <w:numPr>
          <w:ilvl w:val="0"/>
          <w:numId w:val="5"/>
        </w:numPr>
        <w:spacing w:before="240" w:after="240"/>
        <w:ind w:left="0" w:firstLine="0"/>
        <w:contextualSpacing w:val="0"/>
        <w:jc w:val="both"/>
        <w:rPr>
          <w:rFonts w:cstheme="minorHAnsi"/>
          <w:sz w:val="22"/>
          <w:szCs w:val="22"/>
        </w:rPr>
      </w:pPr>
      <w:r>
        <w:rPr>
          <w:rFonts w:cstheme="minorHAnsi"/>
          <w:sz w:val="22"/>
          <w:szCs w:val="22"/>
        </w:rPr>
        <w:t>B</w:t>
      </w:r>
      <w:r w:rsidRPr="00FE77F6">
        <w:rPr>
          <w:rFonts w:cstheme="minorHAnsi"/>
          <w:sz w:val="22"/>
          <w:szCs w:val="22"/>
        </w:rPr>
        <w:t>y February 2021</w:t>
      </w:r>
      <w:r>
        <w:rPr>
          <w:rFonts w:cstheme="minorHAnsi"/>
          <w:sz w:val="22"/>
          <w:szCs w:val="22"/>
        </w:rPr>
        <w:t>,</w:t>
      </w:r>
      <w:r w:rsidRPr="00FE77F6">
        <w:rPr>
          <w:rFonts w:cstheme="minorHAnsi"/>
          <w:sz w:val="22"/>
          <w:szCs w:val="22"/>
        </w:rPr>
        <w:t xml:space="preserve"> </w:t>
      </w:r>
      <w:r>
        <w:rPr>
          <w:rFonts w:cstheme="minorHAnsi"/>
          <w:sz w:val="22"/>
          <w:szCs w:val="22"/>
        </w:rPr>
        <w:t>t</w:t>
      </w:r>
      <w:r w:rsidRPr="00FE77F6">
        <w:rPr>
          <w:rFonts w:cstheme="minorHAnsi"/>
          <w:sz w:val="22"/>
          <w:szCs w:val="22"/>
        </w:rPr>
        <w:t xml:space="preserve">he PIU </w:t>
      </w:r>
      <w:r>
        <w:rPr>
          <w:rFonts w:cstheme="minorHAnsi"/>
          <w:sz w:val="22"/>
          <w:szCs w:val="22"/>
        </w:rPr>
        <w:t xml:space="preserve">will </w:t>
      </w:r>
      <w:r w:rsidRPr="00FE77F6">
        <w:rPr>
          <w:rFonts w:cstheme="minorHAnsi"/>
          <w:sz w:val="22"/>
          <w:szCs w:val="22"/>
        </w:rPr>
        <w:t>verif</w:t>
      </w:r>
      <w:r>
        <w:rPr>
          <w:rFonts w:cstheme="minorHAnsi"/>
          <w:sz w:val="22"/>
          <w:szCs w:val="22"/>
        </w:rPr>
        <w:t>y</w:t>
      </w:r>
      <w:r w:rsidRPr="00FE77F6">
        <w:rPr>
          <w:rFonts w:cstheme="minorHAnsi"/>
          <w:sz w:val="22"/>
          <w:szCs w:val="22"/>
        </w:rPr>
        <w:t xml:space="preserve"> that the FGS Minister of Health has endorsed instructions to use widely available mobile phone infrastructure for improved delivery and performance management of the Marwo Caafimaad program. The PIU </w:t>
      </w:r>
      <w:r>
        <w:rPr>
          <w:rFonts w:cstheme="minorHAnsi"/>
          <w:sz w:val="22"/>
          <w:szCs w:val="22"/>
        </w:rPr>
        <w:t xml:space="preserve">will </w:t>
      </w:r>
      <w:r w:rsidRPr="00FE77F6">
        <w:rPr>
          <w:rFonts w:cstheme="minorHAnsi"/>
          <w:sz w:val="22"/>
          <w:szCs w:val="22"/>
        </w:rPr>
        <w:t>verif</w:t>
      </w:r>
      <w:r>
        <w:rPr>
          <w:rFonts w:cstheme="minorHAnsi"/>
          <w:sz w:val="22"/>
          <w:szCs w:val="22"/>
        </w:rPr>
        <w:t>y</w:t>
      </w:r>
      <w:r w:rsidRPr="00FE77F6">
        <w:rPr>
          <w:rFonts w:cstheme="minorHAnsi"/>
          <w:sz w:val="22"/>
          <w:szCs w:val="22"/>
        </w:rPr>
        <w:t xml:space="preserve"> that the policy addresses the following elements: </w:t>
      </w:r>
    </w:p>
    <w:p w14:paraId="5E215123" w14:textId="77777777" w:rsidR="00B16F23" w:rsidRPr="00FE77F6" w:rsidRDefault="00B16F23" w:rsidP="00D974DB">
      <w:pPr>
        <w:pStyle w:val="ListParagraph"/>
        <w:numPr>
          <w:ilvl w:val="0"/>
          <w:numId w:val="12"/>
        </w:numPr>
        <w:spacing w:after="240"/>
        <w:ind w:left="1195" w:hanging="475"/>
        <w:contextualSpacing w:val="0"/>
        <w:jc w:val="both"/>
        <w:rPr>
          <w:rFonts w:cstheme="minorHAnsi"/>
          <w:sz w:val="22"/>
          <w:szCs w:val="22"/>
        </w:rPr>
      </w:pPr>
      <w:r w:rsidRPr="00FE77F6">
        <w:rPr>
          <w:rFonts w:cstheme="minorHAnsi"/>
          <w:sz w:val="22"/>
          <w:szCs w:val="22"/>
        </w:rPr>
        <w:t xml:space="preserve">The use of smartphones or feature phones and solar chargers, as appropriate, </w:t>
      </w:r>
      <w:r>
        <w:rPr>
          <w:rFonts w:cstheme="minorHAnsi"/>
          <w:sz w:val="22"/>
          <w:szCs w:val="22"/>
        </w:rPr>
        <w:t xml:space="preserve">for </w:t>
      </w:r>
      <w:r w:rsidRPr="00FE77F6">
        <w:rPr>
          <w:rFonts w:cstheme="minorHAnsi"/>
          <w:sz w:val="22"/>
          <w:szCs w:val="22"/>
        </w:rPr>
        <w:t xml:space="preserve">data gathering, training, and beneficiary engagement and use of the information collected for disclosure, performance management, and planning. </w:t>
      </w:r>
    </w:p>
    <w:p w14:paraId="3F328195" w14:textId="77777777" w:rsidR="00B16F23" w:rsidRPr="00FE77F6" w:rsidRDefault="00B16F23" w:rsidP="00D974DB">
      <w:pPr>
        <w:pStyle w:val="ListParagraph"/>
        <w:numPr>
          <w:ilvl w:val="0"/>
          <w:numId w:val="12"/>
        </w:numPr>
        <w:spacing w:after="240"/>
        <w:ind w:left="1195" w:hanging="475"/>
        <w:contextualSpacing w:val="0"/>
        <w:jc w:val="both"/>
        <w:rPr>
          <w:rFonts w:cstheme="minorHAnsi"/>
          <w:sz w:val="22"/>
          <w:szCs w:val="22"/>
        </w:rPr>
      </w:pPr>
      <w:r w:rsidRPr="00FE77F6">
        <w:rPr>
          <w:rFonts w:cstheme="minorHAnsi"/>
          <w:sz w:val="22"/>
          <w:szCs w:val="22"/>
        </w:rPr>
        <w:t>The use of such technologies for the supervisors of the community health system, in addition to the FHSs, who may be required to visit the field for supervision activities, to monitor their field visits</w:t>
      </w:r>
      <w:r>
        <w:rPr>
          <w:rFonts w:cstheme="minorHAnsi"/>
          <w:sz w:val="22"/>
          <w:szCs w:val="22"/>
        </w:rPr>
        <w:t>.</w:t>
      </w:r>
    </w:p>
    <w:p w14:paraId="0FA2111E" w14:textId="77777777" w:rsidR="00B16F23" w:rsidRPr="00FE77F6" w:rsidRDefault="00B16F23" w:rsidP="00D974DB">
      <w:pPr>
        <w:pStyle w:val="ListParagraph"/>
        <w:numPr>
          <w:ilvl w:val="0"/>
          <w:numId w:val="12"/>
        </w:numPr>
        <w:spacing w:after="240"/>
        <w:ind w:left="1195" w:hanging="475"/>
        <w:contextualSpacing w:val="0"/>
        <w:jc w:val="both"/>
        <w:rPr>
          <w:rFonts w:cstheme="minorHAnsi"/>
          <w:sz w:val="22"/>
          <w:szCs w:val="22"/>
        </w:rPr>
      </w:pPr>
      <w:r w:rsidRPr="00FE77F6">
        <w:rPr>
          <w:rFonts w:cstheme="minorHAnsi"/>
          <w:sz w:val="22"/>
          <w:szCs w:val="22"/>
        </w:rPr>
        <w:t>The procurement of phones</w:t>
      </w:r>
      <w:r>
        <w:rPr>
          <w:rFonts w:cstheme="minorHAnsi"/>
          <w:sz w:val="22"/>
          <w:szCs w:val="22"/>
        </w:rPr>
        <w:t xml:space="preserve"> and</w:t>
      </w:r>
      <w:r w:rsidRPr="00FE77F6">
        <w:rPr>
          <w:rFonts w:cstheme="minorHAnsi"/>
          <w:sz w:val="22"/>
          <w:szCs w:val="22"/>
        </w:rPr>
        <w:t xml:space="preserve"> solar chargers, provision of data, contracting of third-party vendors for beneficiary engagement, and provision of training content</w:t>
      </w:r>
      <w:r>
        <w:rPr>
          <w:rFonts w:cstheme="minorHAnsi"/>
          <w:sz w:val="22"/>
          <w:szCs w:val="22"/>
        </w:rPr>
        <w:t>.</w:t>
      </w:r>
    </w:p>
    <w:p w14:paraId="57775329" w14:textId="77777777" w:rsidR="00B16F23" w:rsidRPr="00FE77F6" w:rsidRDefault="00B16F23" w:rsidP="00D974DB">
      <w:pPr>
        <w:pStyle w:val="ListParagraph"/>
        <w:numPr>
          <w:ilvl w:val="0"/>
          <w:numId w:val="12"/>
        </w:numPr>
        <w:spacing w:after="240"/>
        <w:ind w:left="1195" w:hanging="475"/>
        <w:contextualSpacing w:val="0"/>
        <w:jc w:val="both"/>
        <w:rPr>
          <w:rFonts w:cstheme="minorHAnsi"/>
          <w:sz w:val="22"/>
          <w:szCs w:val="22"/>
        </w:rPr>
      </w:pPr>
      <w:r w:rsidRPr="00FE77F6">
        <w:rPr>
          <w:rFonts w:cstheme="minorHAnsi"/>
          <w:sz w:val="22"/>
          <w:szCs w:val="22"/>
        </w:rPr>
        <w:t xml:space="preserve">The privacy, data management, and general security concerns are based on the </w:t>
      </w:r>
      <w:r>
        <w:rPr>
          <w:rFonts w:cstheme="minorHAnsi"/>
          <w:sz w:val="22"/>
          <w:szCs w:val="22"/>
        </w:rPr>
        <w:t>‘</w:t>
      </w:r>
      <w:r w:rsidRPr="00FE77F6">
        <w:rPr>
          <w:rFonts w:cstheme="minorHAnsi"/>
          <w:sz w:val="22"/>
          <w:szCs w:val="22"/>
        </w:rPr>
        <w:t>do no harm</w:t>
      </w:r>
      <w:r>
        <w:rPr>
          <w:rFonts w:cstheme="minorHAnsi"/>
          <w:sz w:val="22"/>
          <w:szCs w:val="22"/>
        </w:rPr>
        <w:t>’</w:t>
      </w:r>
      <w:r w:rsidRPr="00FE77F6">
        <w:rPr>
          <w:rFonts w:cstheme="minorHAnsi"/>
          <w:sz w:val="22"/>
          <w:szCs w:val="22"/>
        </w:rPr>
        <w:t xml:space="preserve"> principle</w:t>
      </w:r>
      <w:r>
        <w:rPr>
          <w:rFonts w:cstheme="minorHAnsi"/>
          <w:sz w:val="22"/>
          <w:szCs w:val="22"/>
        </w:rPr>
        <w:t>.</w:t>
      </w:r>
    </w:p>
    <w:p w14:paraId="17BE2CA1" w14:textId="77777777" w:rsidR="00B16F23" w:rsidRPr="00FE77F6" w:rsidRDefault="00B16F23" w:rsidP="00D974DB">
      <w:pPr>
        <w:pStyle w:val="ListParagraph"/>
        <w:numPr>
          <w:ilvl w:val="0"/>
          <w:numId w:val="12"/>
        </w:numPr>
        <w:spacing w:after="240"/>
        <w:ind w:left="1195" w:hanging="475"/>
        <w:contextualSpacing w:val="0"/>
        <w:jc w:val="both"/>
        <w:rPr>
          <w:rFonts w:cstheme="minorHAnsi"/>
          <w:sz w:val="22"/>
          <w:szCs w:val="22"/>
        </w:rPr>
      </w:pPr>
      <w:r w:rsidRPr="00FE77F6">
        <w:rPr>
          <w:rFonts w:cstheme="minorHAnsi"/>
          <w:sz w:val="22"/>
          <w:szCs w:val="22"/>
        </w:rPr>
        <w:t>Use of ICTs for beneficiary engagement and data gathering will be extensively covered in the residential training.</w:t>
      </w:r>
    </w:p>
    <w:p w14:paraId="75C2E311" w14:textId="77777777" w:rsidR="00B16F23" w:rsidRPr="00FE77F6" w:rsidRDefault="00B16F23" w:rsidP="00D974DB">
      <w:pPr>
        <w:pStyle w:val="ListParagraph"/>
        <w:numPr>
          <w:ilvl w:val="0"/>
          <w:numId w:val="12"/>
        </w:numPr>
        <w:spacing w:after="240"/>
        <w:ind w:left="1195" w:hanging="475"/>
        <w:contextualSpacing w:val="0"/>
        <w:jc w:val="both"/>
        <w:rPr>
          <w:rFonts w:cstheme="minorHAnsi"/>
          <w:sz w:val="22"/>
          <w:szCs w:val="22"/>
        </w:rPr>
      </w:pPr>
      <w:r w:rsidRPr="00FE77F6">
        <w:rPr>
          <w:rFonts w:cstheme="minorHAnsi"/>
          <w:sz w:val="22"/>
          <w:szCs w:val="22"/>
        </w:rPr>
        <w:t>Any matter, including format and periodicity of reporting, training and beneficiary engagement, use of the appropriate ICT instruments, funding, resources, hiring of third parties, and any other matter not elaborated here, will be covered in the POM.</w:t>
      </w:r>
      <w:r>
        <w:rPr>
          <w:rFonts w:cstheme="minorHAnsi"/>
          <w:sz w:val="22"/>
          <w:szCs w:val="22"/>
        </w:rPr>
        <w:t xml:space="preserve"> </w:t>
      </w:r>
    </w:p>
    <w:p w14:paraId="508E076C" w14:textId="77777777" w:rsidR="00B16F23" w:rsidRPr="00FE77F6" w:rsidRDefault="00B16F23" w:rsidP="00D974DB">
      <w:pPr>
        <w:pStyle w:val="ListParagraph"/>
        <w:numPr>
          <w:ilvl w:val="0"/>
          <w:numId w:val="5"/>
        </w:numPr>
        <w:spacing w:after="240"/>
        <w:ind w:left="0" w:firstLine="0"/>
        <w:contextualSpacing w:val="0"/>
        <w:jc w:val="both"/>
        <w:rPr>
          <w:rFonts w:cstheme="minorHAnsi"/>
          <w:sz w:val="22"/>
          <w:szCs w:val="22"/>
        </w:rPr>
      </w:pPr>
      <w:r>
        <w:rPr>
          <w:rFonts w:cstheme="minorHAnsi"/>
          <w:sz w:val="22"/>
          <w:szCs w:val="22"/>
        </w:rPr>
        <w:t>B</w:t>
      </w:r>
      <w:r w:rsidRPr="00FE77F6">
        <w:rPr>
          <w:rFonts w:cstheme="minorHAnsi"/>
          <w:sz w:val="22"/>
          <w:szCs w:val="22"/>
        </w:rPr>
        <w:t>y April 2021</w:t>
      </w:r>
      <w:r>
        <w:rPr>
          <w:rFonts w:cstheme="minorHAnsi"/>
          <w:sz w:val="22"/>
          <w:szCs w:val="22"/>
        </w:rPr>
        <w:t>,</w:t>
      </w:r>
      <w:r w:rsidRPr="00FE77F6">
        <w:rPr>
          <w:rFonts w:cstheme="minorHAnsi"/>
          <w:sz w:val="22"/>
          <w:szCs w:val="22"/>
        </w:rPr>
        <w:t xml:space="preserve"> </w:t>
      </w:r>
      <w:r>
        <w:rPr>
          <w:rFonts w:cstheme="minorHAnsi"/>
          <w:sz w:val="22"/>
          <w:szCs w:val="22"/>
        </w:rPr>
        <w:t>t</w:t>
      </w:r>
      <w:r w:rsidRPr="00FE77F6">
        <w:rPr>
          <w:rFonts w:cstheme="minorHAnsi"/>
          <w:sz w:val="22"/>
          <w:szCs w:val="22"/>
        </w:rPr>
        <w:t xml:space="preserve">he PIU </w:t>
      </w:r>
      <w:r>
        <w:rPr>
          <w:rFonts w:cstheme="minorHAnsi"/>
          <w:sz w:val="22"/>
          <w:szCs w:val="22"/>
        </w:rPr>
        <w:t xml:space="preserve">will </w:t>
      </w:r>
      <w:r w:rsidRPr="00FE77F6">
        <w:rPr>
          <w:rFonts w:cstheme="minorHAnsi"/>
          <w:sz w:val="22"/>
          <w:szCs w:val="22"/>
        </w:rPr>
        <w:t>verif</w:t>
      </w:r>
      <w:r>
        <w:rPr>
          <w:rFonts w:cstheme="minorHAnsi"/>
          <w:sz w:val="22"/>
          <w:szCs w:val="22"/>
        </w:rPr>
        <w:t>y</w:t>
      </w:r>
      <w:r w:rsidRPr="00FE77F6">
        <w:rPr>
          <w:rFonts w:cstheme="minorHAnsi"/>
          <w:sz w:val="22"/>
          <w:szCs w:val="22"/>
        </w:rPr>
        <w:t xml:space="preserve"> that piloting for data gathering and </w:t>
      </w:r>
      <w:r>
        <w:rPr>
          <w:rFonts w:cstheme="minorHAnsi"/>
          <w:sz w:val="22"/>
          <w:szCs w:val="22"/>
        </w:rPr>
        <w:t>training has started i</w:t>
      </w:r>
      <w:r w:rsidRPr="00FE77F6">
        <w:rPr>
          <w:rFonts w:cstheme="minorHAnsi"/>
          <w:sz w:val="22"/>
          <w:szCs w:val="22"/>
        </w:rPr>
        <w:t>n a minimum of t</w:t>
      </w:r>
      <w:r>
        <w:rPr>
          <w:rFonts w:cstheme="minorHAnsi"/>
          <w:sz w:val="22"/>
          <w:szCs w:val="22"/>
        </w:rPr>
        <w:t xml:space="preserve">wo </w:t>
      </w:r>
      <w:r w:rsidRPr="00FE77F6">
        <w:rPr>
          <w:rFonts w:cstheme="minorHAnsi"/>
          <w:sz w:val="22"/>
          <w:szCs w:val="22"/>
        </w:rPr>
        <w:t>states</w:t>
      </w:r>
      <w:r>
        <w:rPr>
          <w:rFonts w:cstheme="minorHAnsi"/>
          <w:sz w:val="22"/>
          <w:szCs w:val="22"/>
        </w:rPr>
        <w:t xml:space="preserve"> or one state and Benadir. Data gathering means submission of a monthly form using smartphones by at least two FHSs in each of the two jurisdictions. The data may include one or all of the following: community health chart, family register, treatment register, referral information, FHWs’ attendance. Training means sending messages once a week for two weeks to at least 100 FHWs/FHSs using mobile phones for guidance/training in a minimum of two states or one state and Benadir. </w:t>
      </w:r>
    </w:p>
    <w:p w14:paraId="73BFAB00" w14:textId="77777777" w:rsidR="00B16F23" w:rsidRPr="00FE77F6" w:rsidRDefault="00B16F23" w:rsidP="00D974DB">
      <w:pPr>
        <w:pStyle w:val="ListParagraph"/>
        <w:numPr>
          <w:ilvl w:val="0"/>
          <w:numId w:val="5"/>
        </w:numPr>
        <w:spacing w:after="240"/>
        <w:ind w:left="0" w:firstLine="0"/>
        <w:contextualSpacing w:val="0"/>
        <w:jc w:val="both"/>
        <w:rPr>
          <w:rFonts w:cstheme="minorHAnsi"/>
          <w:noProof/>
          <w:sz w:val="22"/>
          <w:szCs w:val="22"/>
        </w:rPr>
      </w:pPr>
      <w:r>
        <w:rPr>
          <w:rFonts w:cstheme="minorHAnsi"/>
          <w:noProof/>
          <w:sz w:val="22"/>
          <w:szCs w:val="22"/>
        </w:rPr>
        <w:t>B</w:t>
      </w:r>
      <w:r w:rsidRPr="00FE77F6">
        <w:rPr>
          <w:rFonts w:cstheme="minorHAnsi"/>
          <w:noProof/>
          <w:sz w:val="22"/>
          <w:szCs w:val="22"/>
        </w:rPr>
        <w:t xml:space="preserve">y </w:t>
      </w:r>
      <w:r w:rsidRPr="00FE77F6">
        <w:rPr>
          <w:rFonts w:cstheme="minorHAnsi"/>
          <w:sz w:val="22"/>
          <w:szCs w:val="22"/>
        </w:rPr>
        <w:t>December</w:t>
      </w:r>
      <w:r w:rsidRPr="00FE77F6">
        <w:rPr>
          <w:rFonts w:cstheme="minorHAnsi"/>
          <w:noProof/>
          <w:sz w:val="22"/>
          <w:szCs w:val="22"/>
        </w:rPr>
        <w:t xml:space="preserve"> 2021</w:t>
      </w:r>
      <w:r>
        <w:rPr>
          <w:rFonts w:cstheme="minorHAnsi"/>
          <w:noProof/>
          <w:sz w:val="22"/>
          <w:szCs w:val="22"/>
        </w:rPr>
        <w:t>,</w:t>
      </w:r>
      <w:r w:rsidRPr="00FE77F6">
        <w:rPr>
          <w:rFonts w:cstheme="minorHAnsi"/>
          <w:noProof/>
          <w:sz w:val="22"/>
          <w:szCs w:val="22"/>
        </w:rPr>
        <w:t xml:space="preserve"> </w:t>
      </w:r>
      <w:r>
        <w:rPr>
          <w:rFonts w:cstheme="minorHAnsi"/>
          <w:noProof/>
          <w:sz w:val="22"/>
          <w:szCs w:val="22"/>
        </w:rPr>
        <w:t>t</w:t>
      </w:r>
      <w:r w:rsidRPr="00FE77F6">
        <w:rPr>
          <w:rFonts w:cstheme="minorHAnsi"/>
          <w:noProof/>
          <w:sz w:val="22"/>
          <w:szCs w:val="22"/>
        </w:rPr>
        <w:t xml:space="preserve">he IVA </w:t>
      </w:r>
      <w:r>
        <w:rPr>
          <w:rFonts w:cstheme="minorHAnsi"/>
          <w:noProof/>
          <w:sz w:val="22"/>
          <w:szCs w:val="22"/>
        </w:rPr>
        <w:t xml:space="preserve">will </w:t>
      </w:r>
      <w:r w:rsidRPr="00FE77F6">
        <w:rPr>
          <w:rFonts w:cstheme="minorHAnsi"/>
          <w:noProof/>
          <w:sz w:val="22"/>
          <w:szCs w:val="22"/>
        </w:rPr>
        <w:t>verif</w:t>
      </w:r>
      <w:r>
        <w:rPr>
          <w:rFonts w:cstheme="minorHAnsi"/>
          <w:noProof/>
          <w:sz w:val="22"/>
          <w:szCs w:val="22"/>
        </w:rPr>
        <w:t>y</w:t>
      </w:r>
      <w:r w:rsidRPr="00FE77F6">
        <w:rPr>
          <w:rFonts w:cstheme="minorHAnsi"/>
          <w:noProof/>
          <w:sz w:val="22"/>
          <w:szCs w:val="22"/>
        </w:rPr>
        <w:t xml:space="preserve"> that</w:t>
      </w:r>
      <w:r>
        <w:rPr>
          <w:rFonts w:cstheme="minorHAnsi"/>
          <w:noProof/>
          <w:sz w:val="22"/>
          <w:szCs w:val="22"/>
        </w:rPr>
        <w:t xml:space="preserve"> </w:t>
      </w:r>
    </w:p>
    <w:p w14:paraId="1B100701" w14:textId="77777777" w:rsidR="00B16F23" w:rsidRPr="005D463E" w:rsidRDefault="00B16F23" w:rsidP="00D974DB">
      <w:pPr>
        <w:pStyle w:val="ListParagraph"/>
        <w:numPr>
          <w:ilvl w:val="0"/>
          <w:numId w:val="13"/>
        </w:numPr>
        <w:spacing w:after="240"/>
        <w:ind w:left="1195" w:hanging="475"/>
        <w:contextualSpacing w:val="0"/>
        <w:jc w:val="both"/>
        <w:rPr>
          <w:rFonts w:cstheme="minorHAnsi"/>
          <w:noProof/>
          <w:sz w:val="22"/>
          <w:szCs w:val="22"/>
        </w:rPr>
      </w:pPr>
      <w:r>
        <w:rPr>
          <w:rFonts w:cstheme="minorHAnsi"/>
          <w:noProof/>
          <w:sz w:val="22"/>
          <w:szCs w:val="22"/>
        </w:rPr>
        <w:t xml:space="preserve">MoHs of FGS and FMSs have </w:t>
      </w:r>
      <w:r w:rsidRPr="005D463E">
        <w:rPr>
          <w:rFonts w:cstheme="minorHAnsi"/>
          <w:sz w:val="22"/>
          <w:szCs w:val="22"/>
        </w:rPr>
        <w:t>recruited</w:t>
      </w:r>
      <w:r>
        <w:rPr>
          <w:rFonts w:cstheme="minorHAnsi"/>
          <w:sz w:val="22"/>
          <w:szCs w:val="22"/>
        </w:rPr>
        <w:t>, trained in residence,</w:t>
      </w:r>
      <w:r w:rsidRPr="005D463E">
        <w:rPr>
          <w:rFonts w:cstheme="minorHAnsi"/>
          <w:sz w:val="22"/>
          <w:szCs w:val="22"/>
        </w:rPr>
        <w:t xml:space="preserve"> and deployed</w:t>
      </w:r>
      <w:r>
        <w:rPr>
          <w:rFonts w:cstheme="minorHAnsi"/>
          <w:sz w:val="22"/>
          <w:szCs w:val="22"/>
        </w:rPr>
        <w:t xml:space="preserve"> </w:t>
      </w:r>
      <w:r w:rsidRPr="005D463E">
        <w:rPr>
          <w:rFonts w:cstheme="minorHAnsi"/>
          <w:noProof/>
          <w:sz w:val="22"/>
          <w:szCs w:val="22"/>
        </w:rPr>
        <w:t>75</w:t>
      </w:r>
      <w:r>
        <w:rPr>
          <w:rFonts w:cstheme="minorHAnsi"/>
          <w:noProof/>
          <w:sz w:val="22"/>
          <w:szCs w:val="22"/>
        </w:rPr>
        <w:t xml:space="preserve"> percent</w:t>
      </w:r>
      <w:r w:rsidRPr="005D463E">
        <w:rPr>
          <w:rFonts w:cstheme="minorHAnsi"/>
          <w:noProof/>
          <w:sz w:val="22"/>
          <w:szCs w:val="22"/>
        </w:rPr>
        <w:t xml:space="preserve"> of </w:t>
      </w:r>
      <w:r>
        <w:rPr>
          <w:rFonts w:cstheme="minorHAnsi"/>
          <w:noProof/>
          <w:sz w:val="22"/>
          <w:szCs w:val="22"/>
        </w:rPr>
        <w:t>930</w:t>
      </w:r>
      <w:r w:rsidRPr="005D463E">
        <w:rPr>
          <w:rFonts w:cstheme="minorHAnsi"/>
          <w:noProof/>
          <w:sz w:val="22"/>
          <w:szCs w:val="22"/>
        </w:rPr>
        <w:t xml:space="preserve"> </w:t>
      </w:r>
      <w:r w:rsidRPr="005D463E">
        <w:rPr>
          <w:rFonts w:cstheme="minorHAnsi"/>
          <w:sz w:val="22"/>
          <w:szCs w:val="22"/>
        </w:rPr>
        <w:t>FHWs</w:t>
      </w:r>
      <w:r>
        <w:rPr>
          <w:rFonts w:cstheme="minorHAnsi"/>
          <w:sz w:val="22"/>
          <w:szCs w:val="22"/>
        </w:rPr>
        <w:t>/</w:t>
      </w:r>
      <w:r w:rsidRPr="005D463E">
        <w:rPr>
          <w:rFonts w:cstheme="minorHAnsi"/>
          <w:sz w:val="22"/>
          <w:szCs w:val="22"/>
        </w:rPr>
        <w:t>FHS</w:t>
      </w:r>
      <w:r w:rsidRPr="005D463E">
        <w:rPr>
          <w:rFonts w:cstheme="minorHAnsi"/>
          <w:noProof/>
          <w:sz w:val="22"/>
          <w:szCs w:val="22"/>
        </w:rPr>
        <w:t xml:space="preserve"> </w:t>
      </w:r>
    </w:p>
    <w:p w14:paraId="50E96956" w14:textId="77777777" w:rsidR="00B16F23" w:rsidRPr="00F77F13" w:rsidRDefault="00B16F23" w:rsidP="00D974DB">
      <w:pPr>
        <w:pStyle w:val="ListParagraph"/>
        <w:numPr>
          <w:ilvl w:val="0"/>
          <w:numId w:val="13"/>
        </w:numPr>
        <w:spacing w:after="240"/>
        <w:ind w:left="1195" w:hanging="475"/>
        <w:contextualSpacing w:val="0"/>
        <w:jc w:val="both"/>
        <w:rPr>
          <w:rFonts w:cstheme="minorHAnsi"/>
          <w:noProof/>
          <w:sz w:val="22"/>
          <w:szCs w:val="22"/>
        </w:rPr>
      </w:pPr>
      <w:r w:rsidRPr="00F77F13">
        <w:rPr>
          <w:rFonts w:cstheme="minorHAnsi"/>
          <w:sz w:val="22"/>
          <w:szCs w:val="22"/>
        </w:rPr>
        <w:lastRenderedPageBreak/>
        <w:t>300 FHWs/FHSs report their activities on at least a fortnightly basis</w:t>
      </w:r>
      <w:r w:rsidRPr="00755CB0">
        <w:rPr>
          <w:rFonts w:cstheme="minorHAnsi"/>
          <w:sz w:val="22"/>
          <w:szCs w:val="22"/>
        </w:rPr>
        <w:t xml:space="preserve"> </w:t>
      </w:r>
      <w:r w:rsidRPr="00F77F13">
        <w:rPr>
          <w:rFonts w:cstheme="minorHAnsi"/>
          <w:sz w:val="22"/>
          <w:szCs w:val="22"/>
        </w:rPr>
        <w:t>for the last one month using mobiles/tablets. An additional 300 FHWs/FHSs report their activities</w:t>
      </w:r>
      <w:r>
        <w:rPr>
          <w:rFonts w:cstheme="minorHAnsi"/>
          <w:sz w:val="22"/>
          <w:szCs w:val="22"/>
        </w:rPr>
        <w:t xml:space="preserve"> on a daily basis</w:t>
      </w:r>
      <w:r w:rsidRPr="00F77F13">
        <w:rPr>
          <w:rFonts w:cstheme="minorHAnsi"/>
          <w:sz w:val="22"/>
          <w:szCs w:val="22"/>
        </w:rPr>
        <w:t xml:space="preserve"> in addition to reporting the community health chart, family register, treatment register, referral information; </w:t>
      </w:r>
    </w:p>
    <w:p w14:paraId="257AD605" w14:textId="77777777" w:rsidR="00B16F23" w:rsidRPr="003F4DCE" w:rsidRDefault="00B16F23" w:rsidP="00D974DB">
      <w:pPr>
        <w:pStyle w:val="ListParagraph"/>
        <w:numPr>
          <w:ilvl w:val="0"/>
          <w:numId w:val="13"/>
        </w:numPr>
        <w:spacing w:after="240"/>
        <w:ind w:left="1195" w:hanging="475"/>
        <w:contextualSpacing w:val="0"/>
        <w:jc w:val="both"/>
        <w:rPr>
          <w:rFonts w:cstheme="minorHAnsi"/>
          <w:noProof/>
          <w:sz w:val="22"/>
          <w:szCs w:val="22"/>
        </w:rPr>
      </w:pPr>
      <w:r>
        <w:rPr>
          <w:rFonts w:cstheme="minorHAnsi"/>
          <w:sz w:val="22"/>
          <w:szCs w:val="22"/>
        </w:rPr>
        <w:t xml:space="preserve">Mobile phone based calls are made to </w:t>
      </w:r>
      <w:r w:rsidRPr="003F4DCE">
        <w:rPr>
          <w:rFonts w:cstheme="minorHAnsi"/>
          <w:sz w:val="22"/>
          <w:szCs w:val="22"/>
        </w:rPr>
        <w:t xml:space="preserve">a minimum of </w:t>
      </w:r>
      <w:r>
        <w:rPr>
          <w:rFonts w:cstheme="minorHAnsi"/>
          <w:sz w:val="22"/>
          <w:szCs w:val="22"/>
        </w:rPr>
        <w:t xml:space="preserve">500 </w:t>
      </w:r>
      <w:r w:rsidRPr="003F4DCE">
        <w:rPr>
          <w:rFonts w:cstheme="minorHAnsi"/>
          <w:noProof/>
          <w:sz w:val="22"/>
          <w:szCs w:val="22"/>
        </w:rPr>
        <w:t xml:space="preserve"> </w:t>
      </w:r>
      <w:r w:rsidRPr="003F4DCE">
        <w:rPr>
          <w:rFonts w:cstheme="minorHAnsi"/>
          <w:sz w:val="22"/>
          <w:szCs w:val="22"/>
        </w:rPr>
        <w:t xml:space="preserve">pregnant women </w:t>
      </w:r>
      <w:r>
        <w:rPr>
          <w:rFonts w:cstheme="minorHAnsi"/>
          <w:sz w:val="22"/>
          <w:szCs w:val="22"/>
        </w:rPr>
        <w:t xml:space="preserve">as </w:t>
      </w:r>
      <w:r w:rsidRPr="003F4DCE">
        <w:rPr>
          <w:rFonts w:cstheme="minorHAnsi"/>
          <w:sz w:val="22"/>
          <w:szCs w:val="22"/>
        </w:rPr>
        <w:t>recorded by FHWs and reported to MoH</w:t>
      </w:r>
      <w:r>
        <w:rPr>
          <w:rFonts w:cstheme="minorHAnsi"/>
          <w:sz w:val="22"/>
          <w:szCs w:val="22"/>
        </w:rPr>
        <w:t>, at least twice over the last three months, to check on their health, whether they were attended by FHWs and how many times, and whether they were satisfied with the service.</w:t>
      </w:r>
    </w:p>
    <w:p w14:paraId="7471461F" w14:textId="77777777" w:rsidR="00B16F23" w:rsidRPr="001661A4" w:rsidRDefault="00B16F23" w:rsidP="00D974DB">
      <w:pPr>
        <w:pStyle w:val="ListParagraph"/>
        <w:numPr>
          <w:ilvl w:val="0"/>
          <w:numId w:val="5"/>
        </w:numPr>
        <w:spacing w:after="240"/>
        <w:ind w:left="0" w:firstLine="0"/>
        <w:contextualSpacing w:val="0"/>
        <w:jc w:val="both"/>
        <w:rPr>
          <w:rFonts w:cstheme="minorHAnsi"/>
          <w:sz w:val="22"/>
          <w:szCs w:val="22"/>
        </w:rPr>
      </w:pPr>
      <w:r w:rsidRPr="001661A4">
        <w:rPr>
          <w:rFonts w:cstheme="minorHAnsi"/>
          <w:sz w:val="22"/>
          <w:szCs w:val="22"/>
        </w:rPr>
        <w:t>The MoH has</w:t>
      </w:r>
      <w:r>
        <w:rPr>
          <w:rFonts w:cstheme="minorHAnsi"/>
          <w:sz w:val="22"/>
          <w:szCs w:val="22"/>
        </w:rPr>
        <w:t xml:space="preserve"> </w:t>
      </w:r>
      <w:r w:rsidRPr="00FC0A61">
        <w:rPr>
          <w:rFonts w:cstheme="minorHAnsi"/>
          <w:sz w:val="22"/>
          <w:szCs w:val="22"/>
        </w:rPr>
        <w:t>conducted a stocktaking exercise on the lessons learned from the roll-out of the ICT-based data gathering, beneficiary engagement and training of FHW and FHS and approved an action plan for 2022</w:t>
      </w:r>
      <w:r>
        <w:rPr>
          <w:rFonts w:cstheme="minorHAnsi"/>
          <w:sz w:val="22"/>
          <w:szCs w:val="22"/>
        </w:rPr>
        <w:t>, based on the guideline first issued,</w:t>
      </w:r>
      <w:r w:rsidRPr="001661A4">
        <w:rPr>
          <w:rFonts w:cstheme="minorHAnsi"/>
          <w:sz w:val="22"/>
          <w:szCs w:val="22"/>
        </w:rPr>
        <w:t xml:space="preserve"> for further strengthening and broadening of the ICT based data gathering, beneficiary engagement, and training systems. </w:t>
      </w:r>
      <w:r>
        <w:rPr>
          <w:rFonts w:cstheme="minorHAnsi"/>
          <w:sz w:val="22"/>
          <w:szCs w:val="22"/>
        </w:rPr>
        <w:t xml:space="preserve">The action plan must contain the elements mentioned in the verification protocol of the guidelines issued in March as part of the DLR 15.1.1.  </w:t>
      </w:r>
    </w:p>
    <w:p w14:paraId="389BF7F7" w14:textId="77777777" w:rsidR="00B16F23" w:rsidRPr="00FE77F6" w:rsidRDefault="00B16F23" w:rsidP="00D974DB">
      <w:pPr>
        <w:pStyle w:val="ListParagraph"/>
        <w:numPr>
          <w:ilvl w:val="0"/>
          <w:numId w:val="5"/>
        </w:numPr>
        <w:spacing w:after="240"/>
        <w:ind w:left="0" w:firstLine="0"/>
        <w:contextualSpacing w:val="0"/>
        <w:jc w:val="both"/>
        <w:rPr>
          <w:rFonts w:cstheme="minorHAnsi"/>
          <w:sz w:val="22"/>
          <w:szCs w:val="22"/>
        </w:rPr>
      </w:pPr>
      <w:r w:rsidRPr="00FE77F6">
        <w:rPr>
          <w:rFonts w:cstheme="minorHAnsi"/>
          <w:sz w:val="22"/>
          <w:szCs w:val="22"/>
        </w:rPr>
        <w:t>The implementation details not mentioned here will be agreed and reflected in the POM.</w:t>
      </w:r>
      <w:r>
        <w:rPr>
          <w:rFonts w:cstheme="minorHAnsi"/>
          <w:sz w:val="22"/>
          <w:szCs w:val="22"/>
        </w:rPr>
        <w:t xml:space="preserve"> </w:t>
      </w:r>
    </w:p>
    <w:p w14:paraId="52849D5D" w14:textId="77777777" w:rsidR="00B16F23" w:rsidRPr="00FE77F6" w:rsidRDefault="00B16F23" w:rsidP="00B16F23">
      <w:pPr>
        <w:rPr>
          <w:rFonts w:cstheme="minorHAnsi"/>
          <w:sz w:val="22"/>
          <w:szCs w:val="22"/>
        </w:rPr>
      </w:pPr>
      <w:r w:rsidRPr="00FE77F6">
        <w:rPr>
          <w:rFonts w:cstheme="minorHAnsi"/>
          <w:sz w:val="22"/>
          <w:szCs w:val="22"/>
        </w:rPr>
        <w:br w:type="page"/>
      </w:r>
    </w:p>
    <w:tbl>
      <w:tblPr>
        <w:tblStyle w:val="TableGrid1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7FC"/>
        <w:tblLook w:val="04A0" w:firstRow="1" w:lastRow="0" w:firstColumn="1" w:lastColumn="0" w:noHBand="0" w:noVBand="1"/>
      </w:tblPr>
      <w:tblGrid>
        <w:gridCol w:w="10080"/>
      </w:tblGrid>
      <w:tr w:rsidR="00B16F23" w14:paraId="451C9A82" w14:textId="77777777" w:rsidTr="00C608D6">
        <w:trPr>
          <w:trHeight w:val="117"/>
        </w:trPr>
        <w:tc>
          <w:tcPr>
            <w:tcW w:w="5000" w:type="pct"/>
            <w:shd w:val="clear" w:color="auto" w:fill="F7F7F7"/>
            <w:vAlign w:val="center"/>
          </w:tcPr>
          <w:p w14:paraId="4495E26F" w14:textId="77777777" w:rsidR="00B16F23" w:rsidRPr="00E961C6" w:rsidRDefault="00B16F23" w:rsidP="00C608D6">
            <w:pPr>
              <w:pStyle w:val="NoSpacing"/>
              <w:widowControl w:val="0"/>
              <w:autoSpaceDE w:val="0"/>
              <w:autoSpaceDN w:val="0"/>
              <w:adjustRightInd w:val="0"/>
              <w:jc w:val="center"/>
              <w:outlineLvl w:val="0"/>
              <w:rPr>
                <w:rFonts w:cstheme="minorHAnsi"/>
                <w:b/>
                <w:bCs/>
              </w:rPr>
            </w:pPr>
            <w:r w:rsidRPr="00E961C6">
              <w:rPr>
                <w:rFonts w:cstheme="minorHAnsi"/>
                <w:b/>
                <w:bCs/>
                <w:sz w:val="22"/>
                <w:szCs w:val="22"/>
              </w:rPr>
              <w:lastRenderedPageBreak/>
              <w:t>Annex 4: The costs of DLIs</w:t>
            </w:r>
            <w:r w:rsidRPr="00E50000">
              <w:rPr>
                <w:rFonts w:cstheme="minorHAnsi"/>
                <w:b/>
                <w:bCs/>
              </w:rPr>
              <w:t xml:space="preserve"> </w:t>
            </w:r>
          </w:p>
        </w:tc>
      </w:tr>
      <w:tr w:rsidR="00B16F23" w14:paraId="00F52643" w14:textId="77777777" w:rsidTr="00C608D6">
        <w:trPr>
          <w:trHeight w:val="144"/>
        </w:trPr>
        <w:tc>
          <w:tcPr>
            <w:tcW w:w="5000" w:type="pct"/>
            <w:shd w:val="clear" w:color="auto" w:fill="F7F7F7"/>
            <w:vAlign w:val="center"/>
          </w:tcPr>
          <w:p w14:paraId="7560536D" w14:textId="77777777" w:rsidR="00B16F23" w:rsidRDefault="00B16F23" w:rsidP="00C608D6">
            <w:pPr>
              <w:pStyle w:val="NoSpacing"/>
              <w:widowControl w:val="0"/>
              <w:autoSpaceDE w:val="0"/>
              <w:autoSpaceDN w:val="0"/>
              <w:adjustRightInd w:val="0"/>
              <w:jc w:val="center"/>
              <w:outlineLvl w:val="0"/>
              <w:rPr>
                <w:rFonts w:cstheme="minorHAnsi"/>
                <w:b/>
                <w:bCs/>
                <w:sz w:val="22"/>
                <w:szCs w:val="22"/>
              </w:rPr>
            </w:pPr>
          </w:p>
          <w:p w14:paraId="0B6D7383" w14:textId="77777777" w:rsidR="00B16F23" w:rsidRPr="00600938" w:rsidRDefault="00B16F23" w:rsidP="00C608D6">
            <w:pPr>
              <w:pStyle w:val="NoSpacing"/>
              <w:widowControl w:val="0"/>
              <w:autoSpaceDE w:val="0"/>
              <w:autoSpaceDN w:val="0"/>
              <w:adjustRightInd w:val="0"/>
              <w:jc w:val="center"/>
              <w:outlineLvl w:val="0"/>
              <w:rPr>
                <w:rFonts w:cstheme="minorHAnsi"/>
                <w:b/>
                <w:bCs/>
                <w:color w:val="767171"/>
                <w:sz w:val="22"/>
                <w:szCs w:val="22"/>
              </w:rPr>
            </w:pPr>
            <w:r w:rsidRPr="001D2113">
              <w:rPr>
                <w:rFonts w:cstheme="minorHAnsi"/>
                <w:b/>
                <w:bCs/>
                <w:sz w:val="22"/>
                <w:szCs w:val="22"/>
              </w:rPr>
              <w:t>Federal Republic of Somalia</w:t>
            </w:r>
            <w:r>
              <w:rPr>
                <w:rFonts w:cstheme="minorHAnsi"/>
                <w:b/>
                <w:bCs/>
                <w:sz w:val="22"/>
                <w:szCs w:val="22"/>
              </w:rPr>
              <w:t>:</w:t>
            </w:r>
            <w:r w:rsidRPr="00605D42">
              <w:rPr>
                <w:rFonts w:cstheme="minorHAnsi"/>
                <w:b/>
                <w:bCs/>
                <w:sz w:val="22"/>
                <w:szCs w:val="22"/>
              </w:rPr>
              <w:t xml:space="preserve"> </w:t>
            </w:r>
            <w:r w:rsidRPr="001D2113">
              <w:rPr>
                <w:rFonts w:cstheme="minorHAnsi"/>
                <w:b/>
                <w:bCs/>
                <w:sz w:val="22"/>
                <w:szCs w:val="22"/>
              </w:rPr>
              <w:t xml:space="preserve">Somalia Recurrent Cost </w:t>
            </w:r>
            <w:r>
              <w:rPr>
                <w:rFonts w:cstheme="minorHAnsi"/>
                <w:b/>
                <w:bCs/>
                <w:sz w:val="22"/>
                <w:szCs w:val="22"/>
              </w:rPr>
              <w:t>and</w:t>
            </w:r>
            <w:r w:rsidRPr="001D2113">
              <w:rPr>
                <w:rFonts w:cstheme="minorHAnsi"/>
                <w:b/>
                <w:bCs/>
                <w:sz w:val="22"/>
                <w:szCs w:val="22"/>
              </w:rPr>
              <w:t xml:space="preserve"> Reform Financing Project - Phase 2</w:t>
            </w:r>
          </w:p>
        </w:tc>
      </w:tr>
    </w:tbl>
    <w:p w14:paraId="57C97842" w14:textId="77777777" w:rsidR="00B16F23" w:rsidRPr="00E50000" w:rsidRDefault="00B16F23" w:rsidP="00B16F23">
      <w:pPr>
        <w:spacing w:line="276" w:lineRule="auto"/>
        <w:jc w:val="both"/>
        <w:rPr>
          <w:rFonts w:cstheme="minorHAns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365"/>
        <w:gridCol w:w="1891"/>
        <w:gridCol w:w="1458"/>
        <w:gridCol w:w="1353"/>
        <w:gridCol w:w="1259"/>
        <w:gridCol w:w="1744"/>
      </w:tblGrid>
      <w:tr w:rsidR="00B16F23" w14:paraId="03DA414B" w14:textId="77777777" w:rsidTr="00C608D6">
        <w:trPr>
          <w:trHeight w:val="20"/>
          <w:tblHeader/>
          <w:jc w:val="center"/>
        </w:trPr>
        <w:tc>
          <w:tcPr>
            <w:tcW w:w="1174" w:type="pct"/>
            <w:vMerge w:val="restart"/>
          </w:tcPr>
          <w:p w14:paraId="6717645A" w14:textId="77777777" w:rsidR="00B16F23" w:rsidRPr="00FE77F6" w:rsidRDefault="00B16F23" w:rsidP="00C608D6">
            <w:pPr>
              <w:jc w:val="center"/>
              <w:rPr>
                <w:rFonts w:ascii="Calibri" w:hAnsi="Calibri" w:cs="Calibri"/>
                <w:b/>
                <w:bCs/>
                <w:color w:val="000000"/>
              </w:rPr>
            </w:pPr>
            <w:r w:rsidRPr="00FE77F6">
              <w:rPr>
                <w:rFonts w:ascii="Calibri" w:hAnsi="Calibri" w:cs="Calibri"/>
                <w:b/>
                <w:bCs/>
                <w:color w:val="000000"/>
              </w:rPr>
              <w:t xml:space="preserve">Reform </w:t>
            </w:r>
            <w:r>
              <w:rPr>
                <w:rFonts w:ascii="Calibri" w:hAnsi="Calibri" w:cs="Calibri"/>
                <w:b/>
                <w:bCs/>
                <w:color w:val="000000"/>
              </w:rPr>
              <w:t>A</w:t>
            </w:r>
            <w:r w:rsidRPr="00FE77F6">
              <w:rPr>
                <w:rFonts w:ascii="Calibri" w:hAnsi="Calibri" w:cs="Calibri"/>
                <w:b/>
                <w:bCs/>
                <w:color w:val="000000"/>
              </w:rPr>
              <w:t>reas</w:t>
            </w:r>
          </w:p>
        </w:tc>
        <w:tc>
          <w:tcPr>
            <w:tcW w:w="939" w:type="pct"/>
            <w:vMerge w:val="restart"/>
          </w:tcPr>
          <w:p w14:paraId="0771B6FA" w14:textId="77777777" w:rsidR="00B16F23" w:rsidRPr="00FE77F6" w:rsidRDefault="00B16F23" w:rsidP="00C608D6">
            <w:pPr>
              <w:jc w:val="center"/>
              <w:rPr>
                <w:rFonts w:ascii="Calibri" w:hAnsi="Calibri" w:cs="Calibri"/>
                <w:b/>
                <w:bCs/>
                <w:color w:val="000000"/>
              </w:rPr>
            </w:pPr>
            <w:r w:rsidRPr="00FE77F6">
              <w:rPr>
                <w:rFonts w:ascii="Calibri" w:hAnsi="Calibri" w:cs="Calibri"/>
                <w:b/>
                <w:bCs/>
                <w:color w:val="000000"/>
              </w:rPr>
              <w:t>DLIs</w:t>
            </w:r>
          </w:p>
        </w:tc>
        <w:tc>
          <w:tcPr>
            <w:tcW w:w="2887" w:type="pct"/>
            <w:gridSpan w:val="4"/>
            <w:shd w:val="clear" w:color="auto" w:fill="auto"/>
          </w:tcPr>
          <w:p w14:paraId="308545F9" w14:textId="77777777" w:rsidR="00B16F23" w:rsidRPr="00FE77F6" w:rsidRDefault="00B16F23" w:rsidP="00C608D6">
            <w:pPr>
              <w:jc w:val="center"/>
              <w:rPr>
                <w:rFonts w:ascii="Calibri" w:hAnsi="Calibri" w:cs="Calibri"/>
                <w:b/>
                <w:bCs/>
                <w:color w:val="000000"/>
              </w:rPr>
            </w:pPr>
            <w:r w:rsidRPr="00FE77F6">
              <w:rPr>
                <w:rFonts w:ascii="Calibri" w:hAnsi="Calibri" w:cs="Calibri"/>
                <w:b/>
                <w:bCs/>
                <w:color w:val="000000"/>
              </w:rPr>
              <w:t>Disbursement Plan</w:t>
            </w:r>
            <w:r>
              <w:rPr>
                <w:rFonts w:ascii="Calibri" w:hAnsi="Calibri" w:cs="Calibri"/>
                <w:b/>
                <w:bCs/>
                <w:color w:val="000000"/>
              </w:rPr>
              <w:t xml:space="preserve"> (US$ millions)</w:t>
            </w:r>
          </w:p>
        </w:tc>
      </w:tr>
      <w:tr w:rsidR="00B16F23" w14:paraId="4A098890" w14:textId="77777777" w:rsidTr="00C608D6">
        <w:trPr>
          <w:trHeight w:val="20"/>
          <w:tblHeader/>
          <w:jc w:val="center"/>
        </w:trPr>
        <w:tc>
          <w:tcPr>
            <w:tcW w:w="1174" w:type="pct"/>
            <w:vMerge/>
          </w:tcPr>
          <w:p w14:paraId="670799EF" w14:textId="77777777" w:rsidR="00B16F23" w:rsidRPr="00FE77F6" w:rsidRDefault="00B16F23" w:rsidP="00C608D6">
            <w:pPr>
              <w:jc w:val="center"/>
              <w:rPr>
                <w:rFonts w:ascii="Calibri" w:hAnsi="Calibri" w:cs="Calibri"/>
                <w:b/>
                <w:bCs/>
                <w:color w:val="000000"/>
              </w:rPr>
            </w:pPr>
          </w:p>
        </w:tc>
        <w:tc>
          <w:tcPr>
            <w:tcW w:w="939" w:type="pct"/>
            <w:vMerge/>
          </w:tcPr>
          <w:p w14:paraId="29A94ECD" w14:textId="77777777" w:rsidR="00B16F23" w:rsidRPr="00FE77F6" w:rsidRDefault="00B16F23" w:rsidP="00C608D6">
            <w:pPr>
              <w:jc w:val="center"/>
              <w:rPr>
                <w:rFonts w:ascii="Calibri" w:hAnsi="Calibri" w:cs="Calibri"/>
                <w:b/>
                <w:bCs/>
                <w:color w:val="000000"/>
              </w:rPr>
            </w:pPr>
          </w:p>
        </w:tc>
        <w:tc>
          <w:tcPr>
            <w:tcW w:w="724" w:type="pct"/>
            <w:shd w:val="clear" w:color="auto" w:fill="auto"/>
            <w:hideMark/>
          </w:tcPr>
          <w:p w14:paraId="5F40D44E" w14:textId="77777777" w:rsidR="00B16F23" w:rsidRPr="00FE77F6" w:rsidRDefault="00B16F23" w:rsidP="00C608D6">
            <w:pPr>
              <w:jc w:val="center"/>
              <w:rPr>
                <w:rFonts w:ascii="Calibri" w:hAnsi="Calibri" w:cs="Calibri"/>
                <w:b/>
                <w:bCs/>
                <w:color w:val="000000"/>
              </w:rPr>
            </w:pPr>
            <w:r w:rsidRPr="00FE77F6">
              <w:rPr>
                <w:rFonts w:ascii="Calibri" w:hAnsi="Calibri" w:cs="Calibri"/>
                <w:b/>
                <w:bCs/>
                <w:color w:val="000000"/>
              </w:rPr>
              <w:t>Feb</w:t>
            </w:r>
            <w:r>
              <w:rPr>
                <w:rFonts w:ascii="Calibri" w:hAnsi="Calibri" w:cs="Calibri"/>
                <w:b/>
                <w:bCs/>
                <w:color w:val="000000"/>
              </w:rPr>
              <w:t>ruary 20</w:t>
            </w:r>
            <w:r w:rsidRPr="00FE77F6">
              <w:rPr>
                <w:rFonts w:ascii="Calibri" w:hAnsi="Calibri" w:cs="Calibri"/>
                <w:b/>
                <w:bCs/>
                <w:color w:val="000000"/>
              </w:rPr>
              <w:t>21</w:t>
            </w:r>
          </w:p>
        </w:tc>
        <w:tc>
          <w:tcPr>
            <w:tcW w:w="672" w:type="pct"/>
            <w:shd w:val="clear" w:color="auto" w:fill="auto"/>
            <w:hideMark/>
          </w:tcPr>
          <w:p w14:paraId="551D9943" w14:textId="77777777" w:rsidR="00B16F23" w:rsidRPr="00FE77F6" w:rsidRDefault="00B16F23" w:rsidP="00C608D6">
            <w:pPr>
              <w:jc w:val="center"/>
              <w:rPr>
                <w:rFonts w:ascii="Calibri" w:hAnsi="Calibri" w:cs="Calibri"/>
                <w:b/>
                <w:bCs/>
                <w:color w:val="000000"/>
              </w:rPr>
            </w:pPr>
            <w:r w:rsidRPr="00FE77F6">
              <w:rPr>
                <w:rFonts w:ascii="Calibri" w:hAnsi="Calibri" w:cs="Calibri"/>
                <w:b/>
                <w:bCs/>
                <w:color w:val="000000"/>
              </w:rPr>
              <w:t>Apr</w:t>
            </w:r>
            <w:r>
              <w:rPr>
                <w:rFonts w:ascii="Calibri" w:hAnsi="Calibri" w:cs="Calibri"/>
                <w:b/>
                <w:bCs/>
                <w:color w:val="000000"/>
              </w:rPr>
              <w:t>il 20</w:t>
            </w:r>
            <w:r w:rsidRPr="00FE77F6">
              <w:rPr>
                <w:rFonts w:ascii="Calibri" w:hAnsi="Calibri" w:cs="Calibri"/>
                <w:b/>
                <w:bCs/>
                <w:color w:val="000000"/>
              </w:rPr>
              <w:t>21</w:t>
            </w:r>
          </w:p>
        </w:tc>
        <w:tc>
          <w:tcPr>
            <w:tcW w:w="625" w:type="pct"/>
            <w:shd w:val="clear" w:color="auto" w:fill="auto"/>
            <w:hideMark/>
          </w:tcPr>
          <w:p w14:paraId="6B8D92E0" w14:textId="77777777" w:rsidR="00B16F23" w:rsidRPr="00FE77F6" w:rsidRDefault="00B16F23" w:rsidP="00C608D6">
            <w:pPr>
              <w:jc w:val="center"/>
              <w:rPr>
                <w:rFonts w:ascii="Calibri" w:hAnsi="Calibri" w:cs="Calibri"/>
                <w:b/>
                <w:bCs/>
                <w:color w:val="000000"/>
              </w:rPr>
            </w:pPr>
            <w:r w:rsidRPr="00FE77F6">
              <w:rPr>
                <w:rFonts w:ascii="Calibri" w:hAnsi="Calibri" w:cs="Calibri"/>
                <w:b/>
                <w:bCs/>
                <w:color w:val="000000"/>
              </w:rPr>
              <w:t>Dec</w:t>
            </w:r>
            <w:r>
              <w:rPr>
                <w:rFonts w:ascii="Calibri" w:hAnsi="Calibri" w:cs="Calibri"/>
                <w:b/>
                <w:bCs/>
                <w:color w:val="000000"/>
              </w:rPr>
              <w:t>ember 20</w:t>
            </w:r>
            <w:r w:rsidRPr="00FE77F6">
              <w:rPr>
                <w:rFonts w:ascii="Calibri" w:hAnsi="Calibri" w:cs="Calibri"/>
                <w:b/>
                <w:bCs/>
                <w:color w:val="000000"/>
              </w:rPr>
              <w:t>21</w:t>
            </w:r>
          </w:p>
        </w:tc>
        <w:tc>
          <w:tcPr>
            <w:tcW w:w="866" w:type="pct"/>
            <w:shd w:val="clear" w:color="auto" w:fill="auto"/>
            <w:noWrap/>
            <w:hideMark/>
          </w:tcPr>
          <w:p w14:paraId="31489F06" w14:textId="77777777" w:rsidR="00B16F23" w:rsidRPr="00FE77F6" w:rsidRDefault="00B16F23" w:rsidP="00C608D6">
            <w:pPr>
              <w:jc w:val="center"/>
              <w:rPr>
                <w:rFonts w:ascii="Calibri" w:hAnsi="Calibri" w:cs="Calibri"/>
                <w:b/>
                <w:bCs/>
                <w:color w:val="000000"/>
              </w:rPr>
            </w:pPr>
            <w:r w:rsidRPr="00FE77F6">
              <w:rPr>
                <w:rFonts w:ascii="Calibri" w:hAnsi="Calibri" w:cs="Calibri"/>
                <w:b/>
                <w:bCs/>
                <w:color w:val="000000"/>
              </w:rPr>
              <w:t xml:space="preserve">Total </w:t>
            </w:r>
            <w:r>
              <w:rPr>
                <w:rFonts w:ascii="Calibri" w:hAnsi="Calibri" w:cs="Calibri"/>
                <w:b/>
                <w:bCs/>
                <w:color w:val="000000"/>
              </w:rPr>
              <w:t>D</w:t>
            </w:r>
            <w:r w:rsidRPr="00FE77F6">
              <w:rPr>
                <w:rFonts w:ascii="Calibri" w:hAnsi="Calibri" w:cs="Calibri"/>
                <w:b/>
                <w:bCs/>
                <w:color w:val="000000"/>
              </w:rPr>
              <w:t>isbursement for the DLI</w:t>
            </w:r>
          </w:p>
        </w:tc>
      </w:tr>
      <w:tr w:rsidR="00B16F23" w14:paraId="64CF4B7E" w14:textId="77777777" w:rsidTr="00C608D6">
        <w:trPr>
          <w:trHeight w:val="20"/>
          <w:jc w:val="center"/>
        </w:trPr>
        <w:tc>
          <w:tcPr>
            <w:tcW w:w="1174" w:type="pct"/>
            <w:vMerge w:val="restart"/>
          </w:tcPr>
          <w:p w14:paraId="6AC8DEEA" w14:textId="77777777" w:rsidR="00B16F23" w:rsidRPr="00CB569F" w:rsidRDefault="00B16F23" w:rsidP="00C608D6">
            <w:pPr>
              <w:rPr>
                <w:rFonts w:ascii="Calibri" w:hAnsi="Calibri" w:cs="Calibri"/>
                <w:color w:val="000000"/>
              </w:rPr>
            </w:pPr>
            <w:bookmarkStart w:id="22" w:name="_Hlk64025273"/>
            <w:r w:rsidRPr="00CB569F">
              <w:rPr>
                <w:rFonts w:cstheme="minorHAnsi"/>
              </w:rPr>
              <w:t>Area 1: Strengthened human resource management policies and systems for enhanced performance, efficiency, and equity</w:t>
            </w:r>
          </w:p>
        </w:tc>
        <w:tc>
          <w:tcPr>
            <w:tcW w:w="939" w:type="pct"/>
          </w:tcPr>
          <w:p w14:paraId="371CB8B6" w14:textId="77777777" w:rsidR="00B16F23" w:rsidRPr="00EF7914" w:rsidRDefault="00B16F23" w:rsidP="00C608D6">
            <w:pPr>
              <w:rPr>
                <w:rFonts w:ascii="Calibri" w:hAnsi="Calibri" w:cs="Calibri"/>
                <w:color w:val="000000"/>
              </w:rPr>
            </w:pPr>
            <w:r w:rsidRPr="00EF7914">
              <w:rPr>
                <w:rFonts w:ascii="Calibri" w:hAnsi="Calibri" w:cs="Calibri"/>
                <w:color w:val="000000"/>
              </w:rPr>
              <w:t>H</w:t>
            </w:r>
            <w:r>
              <w:rPr>
                <w:rFonts w:ascii="Calibri" w:hAnsi="Calibri" w:cs="Calibri"/>
                <w:color w:val="000000"/>
              </w:rPr>
              <w:t xml:space="preserve">R </w:t>
            </w:r>
            <w:r w:rsidRPr="00EF7914">
              <w:rPr>
                <w:rFonts w:ascii="Calibri" w:hAnsi="Calibri" w:cs="Calibri"/>
                <w:color w:val="000000"/>
              </w:rPr>
              <w:t>regulations</w:t>
            </w:r>
          </w:p>
        </w:tc>
        <w:tc>
          <w:tcPr>
            <w:tcW w:w="724" w:type="pct"/>
            <w:shd w:val="clear" w:color="auto" w:fill="auto"/>
            <w:vAlign w:val="center"/>
            <w:hideMark/>
          </w:tcPr>
          <w:p w14:paraId="63E6E1C7" w14:textId="77777777" w:rsidR="00B16F23" w:rsidRPr="00EF7914" w:rsidRDefault="00B16F23" w:rsidP="00C608D6">
            <w:pPr>
              <w:jc w:val="center"/>
              <w:rPr>
                <w:rFonts w:ascii="Calibri" w:hAnsi="Calibri" w:cs="Calibri"/>
                <w:color w:val="000000"/>
              </w:rPr>
            </w:pPr>
            <w:r>
              <w:rPr>
                <w:rFonts w:ascii="Calibri" w:hAnsi="Calibri" w:cs="Calibri"/>
                <w:color w:val="262626"/>
              </w:rPr>
              <w:t>2</w:t>
            </w:r>
            <w:r>
              <w:rPr>
                <w:rFonts w:ascii="Calibri" w:hAnsi="Calibri" w:cs="Calibri"/>
                <w:color w:val="000000"/>
              </w:rPr>
              <w:t>.0</w:t>
            </w:r>
          </w:p>
        </w:tc>
        <w:tc>
          <w:tcPr>
            <w:tcW w:w="672" w:type="pct"/>
            <w:shd w:val="clear" w:color="auto" w:fill="auto"/>
            <w:vAlign w:val="center"/>
            <w:hideMark/>
          </w:tcPr>
          <w:p w14:paraId="2B7069F5" w14:textId="77777777" w:rsidR="00B16F23" w:rsidRPr="00EF7914" w:rsidRDefault="00B16F23" w:rsidP="00C608D6">
            <w:pPr>
              <w:jc w:val="center"/>
              <w:rPr>
                <w:rFonts w:ascii="Calibri" w:hAnsi="Calibri" w:cs="Calibri"/>
                <w:color w:val="000000"/>
              </w:rPr>
            </w:pPr>
            <w:r>
              <w:rPr>
                <w:rFonts w:ascii="Calibri" w:hAnsi="Calibri" w:cs="Calibri"/>
                <w:color w:val="000000"/>
              </w:rPr>
              <w:t>1.5</w:t>
            </w:r>
          </w:p>
        </w:tc>
        <w:tc>
          <w:tcPr>
            <w:tcW w:w="625" w:type="pct"/>
            <w:shd w:val="clear" w:color="auto" w:fill="auto"/>
            <w:vAlign w:val="center"/>
            <w:hideMark/>
          </w:tcPr>
          <w:p w14:paraId="129DAD9B" w14:textId="77777777" w:rsidR="00B16F23" w:rsidRPr="00EF7914" w:rsidRDefault="00B16F23" w:rsidP="00C608D6">
            <w:pPr>
              <w:tabs>
                <w:tab w:val="decimal" w:pos="216"/>
              </w:tabs>
              <w:jc w:val="center"/>
              <w:rPr>
                <w:rFonts w:ascii="Calibri" w:hAnsi="Calibri" w:cs="Calibri"/>
                <w:color w:val="000000"/>
              </w:rPr>
            </w:pPr>
            <w:r>
              <w:rPr>
                <w:rFonts w:ascii="Calibri" w:hAnsi="Calibri" w:cs="Calibri"/>
                <w:color w:val="000000"/>
              </w:rPr>
              <w:t>1.0</w:t>
            </w:r>
          </w:p>
        </w:tc>
        <w:tc>
          <w:tcPr>
            <w:tcW w:w="866" w:type="pct"/>
            <w:shd w:val="clear" w:color="auto" w:fill="auto"/>
            <w:noWrap/>
            <w:vAlign w:val="center"/>
            <w:hideMark/>
          </w:tcPr>
          <w:p w14:paraId="4619BF5E" w14:textId="77777777" w:rsidR="00B16F23" w:rsidRPr="00EF7914" w:rsidRDefault="00B16F23" w:rsidP="00C608D6">
            <w:pPr>
              <w:tabs>
                <w:tab w:val="decimal" w:pos="787"/>
              </w:tabs>
              <w:rPr>
                <w:rFonts w:ascii="Calibri" w:hAnsi="Calibri" w:cs="Calibri"/>
                <w:color w:val="000000"/>
              </w:rPr>
            </w:pPr>
            <w:r>
              <w:rPr>
                <w:rFonts w:ascii="Calibri" w:hAnsi="Calibri" w:cs="Calibri"/>
                <w:color w:val="000000"/>
              </w:rPr>
              <w:t>4.5</w:t>
            </w:r>
          </w:p>
        </w:tc>
      </w:tr>
      <w:tr w:rsidR="00B16F23" w14:paraId="518F5A38" w14:textId="77777777" w:rsidTr="00C608D6">
        <w:trPr>
          <w:trHeight w:val="20"/>
          <w:jc w:val="center"/>
        </w:trPr>
        <w:tc>
          <w:tcPr>
            <w:tcW w:w="1174" w:type="pct"/>
            <w:vMerge/>
          </w:tcPr>
          <w:p w14:paraId="7F901283" w14:textId="77777777" w:rsidR="00B16F23" w:rsidRPr="00CB569F" w:rsidRDefault="00B16F23" w:rsidP="00C608D6">
            <w:pPr>
              <w:rPr>
                <w:rFonts w:ascii="Calibri" w:hAnsi="Calibri" w:cs="Calibri"/>
                <w:color w:val="000000"/>
              </w:rPr>
            </w:pPr>
          </w:p>
        </w:tc>
        <w:tc>
          <w:tcPr>
            <w:tcW w:w="939" w:type="pct"/>
          </w:tcPr>
          <w:p w14:paraId="55232173" w14:textId="77777777" w:rsidR="00B16F23" w:rsidRPr="00EF7914" w:rsidRDefault="00B16F23" w:rsidP="00C608D6">
            <w:pPr>
              <w:rPr>
                <w:rFonts w:ascii="Calibri" w:hAnsi="Calibri" w:cs="Calibri"/>
                <w:color w:val="000000"/>
              </w:rPr>
            </w:pPr>
            <w:r w:rsidRPr="00EF7914">
              <w:rPr>
                <w:rFonts w:ascii="Calibri" w:hAnsi="Calibri" w:cs="Calibri"/>
                <w:color w:val="000000"/>
              </w:rPr>
              <w:t>Attendance monitoring</w:t>
            </w:r>
          </w:p>
        </w:tc>
        <w:tc>
          <w:tcPr>
            <w:tcW w:w="724" w:type="pct"/>
            <w:shd w:val="clear" w:color="auto" w:fill="auto"/>
            <w:vAlign w:val="center"/>
            <w:hideMark/>
          </w:tcPr>
          <w:p w14:paraId="3FC72E57" w14:textId="77777777" w:rsidR="00B16F23" w:rsidRPr="00EF7914" w:rsidRDefault="00B16F23" w:rsidP="00C608D6">
            <w:pPr>
              <w:jc w:val="center"/>
              <w:rPr>
                <w:rFonts w:ascii="Calibri" w:hAnsi="Calibri" w:cs="Calibri"/>
                <w:color w:val="000000"/>
              </w:rPr>
            </w:pPr>
            <w:r>
              <w:rPr>
                <w:rFonts w:ascii="Calibri" w:hAnsi="Calibri" w:cs="Calibri"/>
                <w:color w:val="262626"/>
              </w:rPr>
              <w:t>—</w:t>
            </w:r>
          </w:p>
        </w:tc>
        <w:tc>
          <w:tcPr>
            <w:tcW w:w="672" w:type="pct"/>
            <w:shd w:val="clear" w:color="auto" w:fill="auto"/>
            <w:vAlign w:val="center"/>
            <w:hideMark/>
          </w:tcPr>
          <w:p w14:paraId="57499938" w14:textId="77777777" w:rsidR="00B16F23" w:rsidRPr="00EF7914" w:rsidRDefault="00B16F23" w:rsidP="00C608D6">
            <w:pPr>
              <w:tabs>
                <w:tab w:val="decimal" w:pos="216"/>
              </w:tabs>
              <w:jc w:val="center"/>
              <w:rPr>
                <w:rFonts w:ascii="Calibri" w:hAnsi="Calibri" w:cs="Calibri"/>
                <w:color w:val="000000"/>
              </w:rPr>
            </w:pPr>
            <w:r>
              <w:rPr>
                <w:rFonts w:ascii="Calibri" w:hAnsi="Calibri" w:cs="Calibri"/>
                <w:color w:val="000000"/>
              </w:rPr>
              <w:t>0.5</w:t>
            </w:r>
          </w:p>
        </w:tc>
        <w:tc>
          <w:tcPr>
            <w:tcW w:w="625" w:type="pct"/>
            <w:shd w:val="clear" w:color="auto" w:fill="auto"/>
            <w:vAlign w:val="center"/>
            <w:hideMark/>
          </w:tcPr>
          <w:p w14:paraId="3D87DC79" w14:textId="77777777" w:rsidR="00B16F23" w:rsidRPr="00EF7914" w:rsidRDefault="00B16F23" w:rsidP="00C608D6">
            <w:pPr>
              <w:tabs>
                <w:tab w:val="decimal" w:pos="216"/>
              </w:tabs>
              <w:jc w:val="center"/>
              <w:rPr>
                <w:rFonts w:ascii="Calibri" w:hAnsi="Calibri" w:cs="Calibri"/>
                <w:color w:val="000000"/>
              </w:rPr>
            </w:pPr>
            <w:r>
              <w:rPr>
                <w:rFonts w:ascii="Calibri" w:hAnsi="Calibri" w:cs="Calibri"/>
                <w:color w:val="000000"/>
              </w:rPr>
              <w:t>1.5</w:t>
            </w:r>
          </w:p>
        </w:tc>
        <w:tc>
          <w:tcPr>
            <w:tcW w:w="866" w:type="pct"/>
            <w:shd w:val="clear" w:color="auto" w:fill="auto"/>
            <w:noWrap/>
            <w:vAlign w:val="center"/>
            <w:hideMark/>
          </w:tcPr>
          <w:p w14:paraId="2021F3B6" w14:textId="77777777" w:rsidR="00B16F23" w:rsidRPr="00EF7914" w:rsidRDefault="00B16F23" w:rsidP="00C608D6">
            <w:pPr>
              <w:tabs>
                <w:tab w:val="decimal" w:pos="787"/>
              </w:tabs>
              <w:rPr>
                <w:rFonts w:ascii="Calibri" w:hAnsi="Calibri" w:cs="Calibri"/>
                <w:color w:val="000000"/>
              </w:rPr>
            </w:pPr>
            <w:r>
              <w:rPr>
                <w:rFonts w:ascii="Calibri" w:hAnsi="Calibri" w:cs="Calibri"/>
                <w:color w:val="000000"/>
              </w:rPr>
              <w:t>2.0</w:t>
            </w:r>
          </w:p>
        </w:tc>
      </w:tr>
      <w:tr w:rsidR="00B16F23" w14:paraId="2A906594" w14:textId="77777777" w:rsidTr="00C608D6">
        <w:trPr>
          <w:trHeight w:val="20"/>
          <w:jc w:val="center"/>
        </w:trPr>
        <w:tc>
          <w:tcPr>
            <w:tcW w:w="1174" w:type="pct"/>
            <w:vMerge/>
          </w:tcPr>
          <w:p w14:paraId="0384ECAA" w14:textId="77777777" w:rsidR="00B16F23" w:rsidRPr="00CB569F" w:rsidRDefault="00B16F23" w:rsidP="00C608D6">
            <w:pPr>
              <w:rPr>
                <w:rFonts w:ascii="Calibri" w:hAnsi="Calibri" w:cs="Calibri"/>
                <w:color w:val="000000"/>
              </w:rPr>
            </w:pPr>
          </w:p>
        </w:tc>
        <w:tc>
          <w:tcPr>
            <w:tcW w:w="939" w:type="pct"/>
          </w:tcPr>
          <w:p w14:paraId="1D77F2D4" w14:textId="77777777" w:rsidR="00B16F23" w:rsidRPr="00EF7914" w:rsidRDefault="00B16F23" w:rsidP="00C608D6">
            <w:pPr>
              <w:rPr>
                <w:rFonts w:ascii="Calibri" w:hAnsi="Calibri" w:cs="Calibri"/>
                <w:color w:val="000000"/>
              </w:rPr>
            </w:pPr>
            <w:r w:rsidRPr="00EF7914">
              <w:rPr>
                <w:rFonts w:ascii="Calibri" w:hAnsi="Calibri" w:cs="Calibri"/>
                <w:color w:val="000000"/>
              </w:rPr>
              <w:t>Women in civil service</w:t>
            </w:r>
          </w:p>
        </w:tc>
        <w:tc>
          <w:tcPr>
            <w:tcW w:w="724" w:type="pct"/>
            <w:shd w:val="clear" w:color="auto" w:fill="auto"/>
            <w:vAlign w:val="center"/>
            <w:hideMark/>
          </w:tcPr>
          <w:p w14:paraId="1DAB63EB" w14:textId="77777777" w:rsidR="00B16F23" w:rsidRPr="00EF7914" w:rsidRDefault="00B16F23" w:rsidP="00C608D6">
            <w:pPr>
              <w:jc w:val="center"/>
              <w:rPr>
                <w:rFonts w:ascii="Calibri" w:hAnsi="Calibri" w:cs="Calibri"/>
                <w:color w:val="000000"/>
              </w:rPr>
            </w:pPr>
            <w:r>
              <w:rPr>
                <w:rFonts w:ascii="Calibri" w:hAnsi="Calibri" w:cs="Calibri"/>
                <w:color w:val="000000"/>
              </w:rPr>
              <w:t>1.0</w:t>
            </w:r>
          </w:p>
        </w:tc>
        <w:tc>
          <w:tcPr>
            <w:tcW w:w="672" w:type="pct"/>
            <w:shd w:val="clear" w:color="auto" w:fill="auto"/>
            <w:vAlign w:val="center"/>
            <w:hideMark/>
          </w:tcPr>
          <w:p w14:paraId="5324EAFD" w14:textId="77777777" w:rsidR="00B16F23" w:rsidRPr="00205204" w:rsidRDefault="00B16F23" w:rsidP="00C608D6">
            <w:pPr>
              <w:jc w:val="center"/>
              <w:rPr>
                <w:rFonts w:ascii="Calibri" w:hAnsi="Calibri" w:cs="Calibri"/>
                <w:color w:val="262626"/>
              </w:rPr>
            </w:pPr>
            <w:r w:rsidRPr="00205204">
              <w:rPr>
                <w:rFonts w:ascii="Calibri" w:hAnsi="Calibri" w:cs="Calibri"/>
                <w:color w:val="262626"/>
              </w:rPr>
              <w:t>-</w:t>
            </w:r>
          </w:p>
        </w:tc>
        <w:tc>
          <w:tcPr>
            <w:tcW w:w="625" w:type="pct"/>
            <w:shd w:val="clear" w:color="auto" w:fill="auto"/>
            <w:vAlign w:val="center"/>
            <w:hideMark/>
          </w:tcPr>
          <w:p w14:paraId="4A57C3BA" w14:textId="77777777" w:rsidR="00B16F23" w:rsidRPr="00EF7914" w:rsidRDefault="00B16F23" w:rsidP="00C608D6">
            <w:pPr>
              <w:tabs>
                <w:tab w:val="decimal" w:pos="216"/>
              </w:tabs>
              <w:jc w:val="center"/>
              <w:rPr>
                <w:rFonts w:ascii="Calibri" w:hAnsi="Calibri" w:cs="Calibri"/>
                <w:color w:val="000000"/>
              </w:rPr>
            </w:pPr>
            <w:r>
              <w:rPr>
                <w:rFonts w:ascii="Calibri" w:hAnsi="Calibri" w:cs="Calibri"/>
                <w:color w:val="000000"/>
              </w:rPr>
              <w:t>0.5</w:t>
            </w:r>
          </w:p>
        </w:tc>
        <w:tc>
          <w:tcPr>
            <w:tcW w:w="866" w:type="pct"/>
            <w:shd w:val="clear" w:color="auto" w:fill="auto"/>
            <w:noWrap/>
            <w:vAlign w:val="center"/>
            <w:hideMark/>
          </w:tcPr>
          <w:p w14:paraId="23FC8BEA" w14:textId="77777777" w:rsidR="00B16F23" w:rsidRPr="00EF7914" w:rsidRDefault="00B16F23" w:rsidP="00C608D6">
            <w:pPr>
              <w:tabs>
                <w:tab w:val="decimal" w:pos="787"/>
              </w:tabs>
              <w:rPr>
                <w:rFonts w:ascii="Calibri" w:hAnsi="Calibri" w:cs="Calibri"/>
                <w:color w:val="000000"/>
              </w:rPr>
            </w:pPr>
            <w:r>
              <w:rPr>
                <w:rFonts w:ascii="Calibri" w:hAnsi="Calibri" w:cs="Calibri"/>
                <w:color w:val="000000"/>
              </w:rPr>
              <w:t>1.5</w:t>
            </w:r>
          </w:p>
        </w:tc>
      </w:tr>
      <w:tr w:rsidR="00B16F23" w14:paraId="19B77538" w14:textId="77777777" w:rsidTr="00C608D6">
        <w:trPr>
          <w:trHeight w:val="20"/>
          <w:jc w:val="center"/>
        </w:trPr>
        <w:tc>
          <w:tcPr>
            <w:tcW w:w="1174" w:type="pct"/>
            <w:vMerge w:val="restart"/>
            <w:vAlign w:val="center"/>
          </w:tcPr>
          <w:p w14:paraId="0095A2E1" w14:textId="77777777" w:rsidR="00B16F23" w:rsidRPr="00CB569F" w:rsidRDefault="00B16F23" w:rsidP="00C608D6">
            <w:pPr>
              <w:rPr>
                <w:rFonts w:ascii="Calibri" w:hAnsi="Calibri" w:cs="Calibri"/>
                <w:color w:val="000000"/>
              </w:rPr>
            </w:pPr>
            <w:r w:rsidRPr="00CB569F">
              <w:rPr>
                <w:rFonts w:cstheme="minorHAnsi"/>
              </w:rPr>
              <w:t>Area 2: Effective and transparent wage bill management for enhanced fiscal sustainability</w:t>
            </w:r>
          </w:p>
        </w:tc>
        <w:tc>
          <w:tcPr>
            <w:tcW w:w="939" w:type="pct"/>
          </w:tcPr>
          <w:p w14:paraId="0796497D" w14:textId="77777777" w:rsidR="00B16F23" w:rsidRPr="00EF7914" w:rsidRDefault="00B16F23" w:rsidP="00C608D6">
            <w:pPr>
              <w:rPr>
                <w:rFonts w:ascii="Calibri" w:hAnsi="Calibri" w:cs="Calibri"/>
                <w:color w:val="000000"/>
              </w:rPr>
            </w:pPr>
            <w:r w:rsidRPr="00EF7914">
              <w:rPr>
                <w:rFonts w:ascii="Calibri" w:hAnsi="Calibri" w:cs="Calibri"/>
                <w:color w:val="000000"/>
              </w:rPr>
              <w:t>Wage control</w:t>
            </w:r>
          </w:p>
        </w:tc>
        <w:tc>
          <w:tcPr>
            <w:tcW w:w="724" w:type="pct"/>
            <w:shd w:val="clear" w:color="auto" w:fill="auto"/>
            <w:vAlign w:val="center"/>
            <w:hideMark/>
          </w:tcPr>
          <w:p w14:paraId="2B8DF949" w14:textId="77777777" w:rsidR="00B16F23" w:rsidRPr="00EF7914" w:rsidRDefault="00B16F23" w:rsidP="00C608D6">
            <w:pPr>
              <w:jc w:val="center"/>
              <w:rPr>
                <w:rFonts w:ascii="Calibri" w:hAnsi="Calibri" w:cs="Calibri"/>
                <w:color w:val="000000"/>
              </w:rPr>
            </w:pPr>
            <w:r w:rsidRPr="005A2F9C">
              <w:rPr>
                <w:rFonts w:ascii="Calibri" w:hAnsi="Calibri" w:cs="Calibri"/>
                <w:color w:val="262626"/>
              </w:rPr>
              <w:t>—</w:t>
            </w:r>
          </w:p>
        </w:tc>
        <w:tc>
          <w:tcPr>
            <w:tcW w:w="672" w:type="pct"/>
            <w:shd w:val="clear" w:color="auto" w:fill="auto"/>
            <w:vAlign w:val="center"/>
            <w:hideMark/>
          </w:tcPr>
          <w:p w14:paraId="00A11F55" w14:textId="77777777" w:rsidR="00B16F23" w:rsidRPr="00205204" w:rsidRDefault="00B16F23" w:rsidP="00C608D6">
            <w:pPr>
              <w:jc w:val="center"/>
              <w:rPr>
                <w:rFonts w:ascii="Calibri" w:hAnsi="Calibri" w:cs="Calibri"/>
                <w:color w:val="262626"/>
              </w:rPr>
            </w:pPr>
            <w:r w:rsidRPr="00205204">
              <w:rPr>
                <w:rFonts w:ascii="Calibri" w:hAnsi="Calibri" w:cs="Calibri"/>
                <w:color w:val="262626"/>
              </w:rPr>
              <w:t>-</w:t>
            </w:r>
          </w:p>
        </w:tc>
        <w:tc>
          <w:tcPr>
            <w:tcW w:w="625" w:type="pct"/>
            <w:shd w:val="clear" w:color="auto" w:fill="auto"/>
            <w:vAlign w:val="center"/>
            <w:hideMark/>
          </w:tcPr>
          <w:p w14:paraId="403BA561" w14:textId="77777777" w:rsidR="00B16F23" w:rsidRPr="00EF7914" w:rsidRDefault="00B16F23" w:rsidP="00C608D6">
            <w:pPr>
              <w:tabs>
                <w:tab w:val="decimal" w:pos="216"/>
              </w:tabs>
              <w:jc w:val="center"/>
              <w:rPr>
                <w:rFonts w:ascii="Calibri" w:hAnsi="Calibri" w:cs="Calibri"/>
                <w:color w:val="000000"/>
              </w:rPr>
            </w:pPr>
            <w:r>
              <w:rPr>
                <w:rFonts w:ascii="Calibri" w:hAnsi="Calibri" w:cs="Calibri"/>
                <w:color w:val="000000"/>
              </w:rPr>
              <w:t>1.5</w:t>
            </w:r>
          </w:p>
        </w:tc>
        <w:tc>
          <w:tcPr>
            <w:tcW w:w="866" w:type="pct"/>
            <w:shd w:val="clear" w:color="auto" w:fill="auto"/>
            <w:noWrap/>
            <w:vAlign w:val="center"/>
            <w:hideMark/>
          </w:tcPr>
          <w:p w14:paraId="4B4463DA" w14:textId="77777777" w:rsidR="00B16F23" w:rsidRPr="00EF7914" w:rsidRDefault="00B16F23" w:rsidP="00C608D6">
            <w:pPr>
              <w:tabs>
                <w:tab w:val="decimal" w:pos="787"/>
              </w:tabs>
              <w:rPr>
                <w:rFonts w:ascii="Calibri" w:hAnsi="Calibri" w:cs="Calibri"/>
                <w:color w:val="000000"/>
              </w:rPr>
            </w:pPr>
            <w:r>
              <w:rPr>
                <w:rFonts w:ascii="Calibri" w:hAnsi="Calibri" w:cs="Calibri"/>
                <w:color w:val="000000"/>
              </w:rPr>
              <w:t>1.5</w:t>
            </w:r>
          </w:p>
        </w:tc>
      </w:tr>
      <w:tr w:rsidR="00B16F23" w14:paraId="1AA86552" w14:textId="77777777" w:rsidTr="00C608D6">
        <w:trPr>
          <w:trHeight w:val="20"/>
          <w:jc w:val="center"/>
        </w:trPr>
        <w:tc>
          <w:tcPr>
            <w:tcW w:w="1174" w:type="pct"/>
            <w:vMerge/>
          </w:tcPr>
          <w:p w14:paraId="2E18A2B6" w14:textId="77777777" w:rsidR="00B16F23" w:rsidRPr="00CB569F" w:rsidRDefault="00B16F23" w:rsidP="00C608D6">
            <w:pPr>
              <w:rPr>
                <w:rFonts w:ascii="Calibri" w:hAnsi="Calibri" w:cs="Calibri"/>
                <w:color w:val="000000"/>
              </w:rPr>
            </w:pPr>
          </w:p>
        </w:tc>
        <w:tc>
          <w:tcPr>
            <w:tcW w:w="939" w:type="pct"/>
          </w:tcPr>
          <w:p w14:paraId="0226F0E5" w14:textId="77777777" w:rsidR="00B16F23" w:rsidRPr="00EF7914" w:rsidRDefault="00B16F23" w:rsidP="00C608D6">
            <w:pPr>
              <w:rPr>
                <w:rFonts w:ascii="Calibri" w:hAnsi="Calibri" w:cs="Calibri"/>
                <w:color w:val="000000"/>
              </w:rPr>
            </w:pPr>
            <w:r w:rsidRPr="00EF7914">
              <w:rPr>
                <w:rFonts w:ascii="Calibri" w:hAnsi="Calibri" w:cs="Calibri"/>
                <w:color w:val="000000"/>
              </w:rPr>
              <w:t>Pay and grading</w:t>
            </w:r>
          </w:p>
        </w:tc>
        <w:tc>
          <w:tcPr>
            <w:tcW w:w="724" w:type="pct"/>
            <w:shd w:val="clear" w:color="auto" w:fill="auto"/>
            <w:vAlign w:val="center"/>
          </w:tcPr>
          <w:p w14:paraId="2AF42D53" w14:textId="77777777" w:rsidR="00B16F23" w:rsidRPr="00EF7914" w:rsidRDefault="00B16F23" w:rsidP="00C608D6">
            <w:pPr>
              <w:jc w:val="center"/>
              <w:rPr>
                <w:rFonts w:ascii="Calibri" w:hAnsi="Calibri" w:cs="Calibri"/>
                <w:color w:val="000000"/>
              </w:rPr>
            </w:pPr>
            <w:r w:rsidRPr="005A2F9C">
              <w:rPr>
                <w:rFonts w:ascii="Calibri" w:hAnsi="Calibri" w:cs="Calibri"/>
                <w:color w:val="262626"/>
              </w:rPr>
              <w:t>—</w:t>
            </w:r>
          </w:p>
        </w:tc>
        <w:tc>
          <w:tcPr>
            <w:tcW w:w="672" w:type="pct"/>
            <w:shd w:val="clear" w:color="auto" w:fill="auto"/>
            <w:vAlign w:val="center"/>
          </w:tcPr>
          <w:p w14:paraId="747BA277" w14:textId="77777777" w:rsidR="00B16F23" w:rsidRPr="00205204" w:rsidRDefault="00B16F23" w:rsidP="00C608D6">
            <w:pPr>
              <w:jc w:val="center"/>
              <w:rPr>
                <w:rFonts w:ascii="Calibri" w:hAnsi="Calibri" w:cs="Calibri"/>
                <w:color w:val="262626"/>
              </w:rPr>
            </w:pPr>
            <w:r w:rsidRPr="00205204">
              <w:rPr>
                <w:rFonts w:ascii="Calibri" w:hAnsi="Calibri" w:cs="Calibri"/>
                <w:color w:val="262626"/>
              </w:rPr>
              <w:t>-</w:t>
            </w:r>
          </w:p>
        </w:tc>
        <w:tc>
          <w:tcPr>
            <w:tcW w:w="625" w:type="pct"/>
            <w:shd w:val="clear" w:color="auto" w:fill="auto"/>
            <w:vAlign w:val="center"/>
          </w:tcPr>
          <w:p w14:paraId="4614B3DA" w14:textId="77777777" w:rsidR="00B16F23" w:rsidRDefault="00B16F23" w:rsidP="00C608D6">
            <w:pPr>
              <w:tabs>
                <w:tab w:val="decimal" w:pos="216"/>
              </w:tabs>
              <w:jc w:val="center"/>
              <w:rPr>
                <w:rFonts w:ascii="Calibri" w:hAnsi="Calibri" w:cs="Calibri"/>
                <w:color w:val="000000"/>
              </w:rPr>
            </w:pPr>
            <w:r>
              <w:rPr>
                <w:rFonts w:ascii="Calibri" w:hAnsi="Calibri" w:cs="Calibri"/>
                <w:color w:val="000000"/>
              </w:rPr>
              <w:t>1.0</w:t>
            </w:r>
          </w:p>
        </w:tc>
        <w:tc>
          <w:tcPr>
            <w:tcW w:w="866" w:type="pct"/>
            <w:shd w:val="clear" w:color="auto" w:fill="auto"/>
            <w:noWrap/>
            <w:vAlign w:val="center"/>
          </w:tcPr>
          <w:p w14:paraId="23449F85" w14:textId="77777777" w:rsidR="00B16F23" w:rsidRDefault="00B16F23" w:rsidP="00C608D6">
            <w:pPr>
              <w:tabs>
                <w:tab w:val="decimal" w:pos="787"/>
              </w:tabs>
              <w:rPr>
                <w:rFonts w:ascii="Calibri" w:hAnsi="Calibri" w:cs="Calibri"/>
                <w:color w:val="000000"/>
              </w:rPr>
            </w:pPr>
            <w:r>
              <w:rPr>
                <w:rFonts w:ascii="Calibri" w:hAnsi="Calibri" w:cs="Calibri"/>
                <w:color w:val="000000"/>
              </w:rPr>
              <w:t>1.0</w:t>
            </w:r>
          </w:p>
        </w:tc>
      </w:tr>
      <w:tr w:rsidR="00B16F23" w14:paraId="76C8D184" w14:textId="77777777" w:rsidTr="00C608D6">
        <w:trPr>
          <w:trHeight w:val="20"/>
          <w:jc w:val="center"/>
        </w:trPr>
        <w:tc>
          <w:tcPr>
            <w:tcW w:w="1174" w:type="pct"/>
            <w:vMerge/>
          </w:tcPr>
          <w:p w14:paraId="4943B083" w14:textId="77777777" w:rsidR="00B16F23" w:rsidRPr="00CB569F" w:rsidRDefault="00B16F23" w:rsidP="00C608D6">
            <w:pPr>
              <w:rPr>
                <w:rFonts w:ascii="Calibri" w:hAnsi="Calibri" w:cs="Calibri"/>
                <w:color w:val="000000"/>
              </w:rPr>
            </w:pPr>
          </w:p>
        </w:tc>
        <w:tc>
          <w:tcPr>
            <w:tcW w:w="939" w:type="pct"/>
          </w:tcPr>
          <w:p w14:paraId="44D7747F" w14:textId="77777777" w:rsidR="00B16F23" w:rsidRPr="00EF7914" w:rsidRDefault="00B16F23" w:rsidP="00C608D6">
            <w:pPr>
              <w:rPr>
                <w:rFonts w:ascii="Calibri" w:hAnsi="Calibri" w:cs="Calibri"/>
                <w:color w:val="000000"/>
              </w:rPr>
            </w:pPr>
            <w:r w:rsidRPr="00EF7914">
              <w:rPr>
                <w:rFonts w:ascii="Calibri" w:hAnsi="Calibri" w:cs="Calibri"/>
                <w:color w:val="000000"/>
              </w:rPr>
              <w:t>Pensions</w:t>
            </w:r>
          </w:p>
        </w:tc>
        <w:tc>
          <w:tcPr>
            <w:tcW w:w="724" w:type="pct"/>
            <w:shd w:val="clear" w:color="auto" w:fill="auto"/>
            <w:vAlign w:val="center"/>
          </w:tcPr>
          <w:p w14:paraId="189CFCFD" w14:textId="77777777" w:rsidR="00B16F23" w:rsidRDefault="00B16F23" w:rsidP="00C608D6">
            <w:pPr>
              <w:jc w:val="center"/>
              <w:rPr>
                <w:rFonts w:ascii="Calibri" w:hAnsi="Calibri" w:cs="Calibri"/>
                <w:color w:val="000000"/>
              </w:rPr>
            </w:pPr>
            <w:r>
              <w:rPr>
                <w:rFonts w:ascii="Calibri" w:hAnsi="Calibri" w:cs="Calibri"/>
                <w:color w:val="000000"/>
              </w:rPr>
              <w:t>2.0</w:t>
            </w:r>
          </w:p>
        </w:tc>
        <w:tc>
          <w:tcPr>
            <w:tcW w:w="672" w:type="pct"/>
            <w:shd w:val="clear" w:color="auto" w:fill="auto"/>
            <w:vAlign w:val="center"/>
          </w:tcPr>
          <w:p w14:paraId="59A22903" w14:textId="77777777" w:rsidR="00B16F23" w:rsidRDefault="00B16F23" w:rsidP="00C608D6">
            <w:pPr>
              <w:tabs>
                <w:tab w:val="decimal" w:pos="216"/>
              </w:tabs>
              <w:jc w:val="center"/>
              <w:rPr>
                <w:rFonts w:ascii="Calibri" w:hAnsi="Calibri" w:cs="Calibri"/>
                <w:color w:val="262626"/>
              </w:rPr>
            </w:pPr>
            <w:r>
              <w:rPr>
                <w:rFonts w:ascii="Calibri" w:hAnsi="Calibri" w:cs="Calibri"/>
                <w:color w:val="262626"/>
              </w:rPr>
              <w:t>1.0</w:t>
            </w:r>
          </w:p>
        </w:tc>
        <w:tc>
          <w:tcPr>
            <w:tcW w:w="625" w:type="pct"/>
            <w:shd w:val="clear" w:color="auto" w:fill="auto"/>
            <w:vAlign w:val="center"/>
          </w:tcPr>
          <w:p w14:paraId="3D0C2D49" w14:textId="77777777" w:rsidR="00B16F23" w:rsidRDefault="00B16F23" w:rsidP="00C608D6">
            <w:pPr>
              <w:tabs>
                <w:tab w:val="decimal" w:pos="216"/>
              </w:tabs>
              <w:jc w:val="center"/>
              <w:rPr>
                <w:rFonts w:ascii="Calibri" w:hAnsi="Calibri" w:cs="Calibri"/>
                <w:color w:val="000000"/>
              </w:rPr>
            </w:pPr>
            <w:r>
              <w:rPr>
                <w:rFonts w:ascii="Calibri" w:hAnsi="Calibri" w:cs="Calibri"/>
                <w:color w:val="000000"/>
              </w:rPr>
              <w:t>1.0</w:t>
            </w:r>
          </w:p>
        </w:tc>
        <w:tc>
          <w:tcPr>
            <w:tcW w:w="866" w:type="pct"/>
            <w:shd w:val="clear" w:color="auto" w:fill="auto"/>
            <w:noWrap/>
            <w:vAlign w:val="center"/>
          </w:tcPr>
          <w:p w14:paraId="17321127" w14:textId="77777777" w:rsidR="00B16F23" w:rsidRDefault="00B16F23" w:rsidP="00C608D6">
            <w:pPr>
              <w:tabs>
                <w:tab w:val="decimal" w:pos="787"/>
              </w:tabs>
              <w:rPr>
                <w:rFonts w:ascii="Calibri" w:hAnsi="Calibri" w:cs="Calibri"/>
                <w:color w:val="000000"/>
              </w:rPr>
            </w:pPr>
            <w:r>
              <w:rPr>
                <w:rFonts w:ascii="Calibri" w:hAnsi="Calibri" w:cs="Calibri"/>
                <w:color w:val="000000"/>
              </w:rPr>
              <w:t>4.0</w:t>
            </w:r>
          </w:p>
        </w:tc>
      </w:tr>
      <w:tr w:rsidR="00B16F23" w14:paraId="3203063A" w14:textId="77777777" w:rsidTr="00C608D6">
        <w:trPr>
          <w:trHeight w:val="20"/>
          <w:jc w:val="center"/>
        </w:trPr>
        <w:tc>
          <w:tcPr>
            <w:tcW w:w="1174" w:type="pct"/>
          </w:tcPr>
          <w:p w14:paraId="111AB8AE" w14:textId="77777777" w:rsidR="00B16F23" w:rsidRPr="00CB569F" w:rsidRDefault="00B16F23" w:rsidP="00C608D6">
            <w:pPr>
              <w:rPr>
                <w:rFonts w:ascii="Calibri" w:hAnsi="Calibri" w:cs="Calibri"/>
                <w:color w:val="000000"/>
              </w:rPr>
            </w:pPr>
            <w:r w:rsidRPr="00CB569F">
              <w:rPr>
                <w:rFonts w:cstheme="minorHAnsi"/>
              </w:rPr>
              <w:t>Area 3: Enhanced FGS and FMS fiscal and financial reporting</w:t>
            </w:r>
          </w:p>
        </w:tc>
        <w:tc>
          <w:tcPr>
            <w:tcW w:w="939" w:type="pct"/>
          </w:tcPr>
          <w:p w14:paraId="492BAB46" w14:textId="77777777" w:rsidR="00B16F23" w:rsidRPr="00EF7914" w:rsidRDefault="00B16F23" w:rsidP="00C608D6">
            <w:pPr>
              <w:rPr>
                <w:rFonts w:ascii="Calibri" w:hAnsi="Calibri" w:cs="Calibri"/>
                <w:color w:val="000000"/>
              </w:rPr>
            </w:pPr>
            <w:r w:rsidRPr="00EF7914">
              <w:rPr>
                <w:rFonts w:ascii="Calibri" w:hAnsi="Calibri" w:cs="Calibri"/>
                <w:color w:val="000000"/>
              </w:rPr>
              <w:t>Fiscal reporting</w:t>
            </w:r>
          </w:p>
        </w:tc>
        <w:tc>
          <w:tcPr>
            <w:tcW w:w="724" w:type="pct"/>
            <w:shd w:val="clear" w:color="auto" w:fill="auto"/>
            <w:vAlign w:val="center"/>
            <w:hideMark/>
          </w:tcPr>
          <w:p w14:paraId="2B5681E2" w14:textId="77777777" w:rsidR="00B16F23" w:rsidRPr="00EF7914" w:rsidRDefault="00B16F23" w:rsidP="00C608D6">
            <w:pPr>
              <w:jc w:val="center"/>
              <w:rPr>
                <w:rFonts w:ascii="Calibri" w:hAnsi="Calibri" w:cs="Calibri"/>
                <w:color w:val="000000"/>
              </w:rPr>
            </w:pPr>
            <w:r>
              <w:rPr>
                <w:rFonts w:ascii="Calibri" w:hAnsi="Calibri" w:cs="Calibri"/>
                <w:color w:val="000000"/>
              </w:rPr>
              <w:t>1.0</w:t>
            </w:r>
          </w:p>
        </w:tc>
        <w:tc>
          <w:tcPr>
            <w:tcW w:w="672" w:type="pct"/>
            <w:shd w:val="clear" w:color="auto" w:fill="auto"/>
            <w:vAlign w:val="center"/>
            <w:hideMark/>
          </w:tcPr>
          <w:p w14:paraId="30C192B2" w14:textId="77777777" w:rsidR="00B16F23" w:rsidRPr="00EF7914" w:rsidRDefault="00B16F23" w:rsidP="00C608D6">
            <w:pPr>
              <w:tabs>
                <w:tab w:val="decimal" w:pos="216"/>
              </w:tabs>
              <w:jc w:val="center"/>
              <w:rPr>
                <w:rFonts w:ascii="Calibri" w:hAnsi="Calibri" w:cs="Calibri"/>
                <w:color w:val="000000"/>
              </w:rPr>
            </w:pPr>
            <w:r>
              <w:rPr>
                <w:rFonts w:ascii="Calibri" w:hAnsi="Calibri" w:cs="Calibri"/>
                <w:color w:val="262626"/>
              </w:rPr>
              <w:t>1.0</w:t>
            </w:r>
          </w:p>
        </w:tc>
        <w:tc>
          <w:tcPr>
            <w:tcW w:w="625" w:type="pct"/>
            <w:shd w:val="clear" w:color="auto" w:fill="auto"/>
            <w:vAlign w:val="center"/>
            <w:hideMark/>
          </w:tcPr>
          <w:p w14:paraId="0D25771B" w14:textId="77777777" w:rsidR="00B16F23" w:rsidRPr="00EF7914" w:rsidRDefault="00B16F23" w:rsidP="00C608D6">
            <w:pPr>
              <w:tabs>
                <w:tab w:val="decimal" w:pos="216"/>
              </w:tabs>
              <w:jc w:val="center"/>
              <w:rPr>
                <w:rFonts w:ascii="Calibri" w:hAnsi="Calibri" w:cs="Calibri"/>
                <w:color w:val="000000"/>
              </w:rPr>
            </w:pPr>
            <w:r>
              <w:rPr>
                <w:rFonts w:ascii="Calibri" w:hAnsi="Calibri" w:cs="Calibri"/>
                <w:color w:val="000000"/>
              </w:rPr>
              <w:t>0.5</w:t>
            </w:r>
          </w:p>
        </w:tc>
        <w:tc>
          <w:tcPr>
            <w:tcW w:w="866" w:type="pct"/>
            <w:shd w:val="clear" w:color="auto" w:fill="auto"/>
            <w:noWrap/>
            <w:vAlign w:val="center"/>
            <w:hideMark/>
          </w:tcPr>
          <w:p w14:paraId="71570260" w14:textId="77777777" w:rsidR="00B16F23" w:rsidRPr="00EF7914" w:rsidRDefault="00B16F23" w:rsidP="00C608D6">
            <w:pPr>
              <w:tabs>
                <w:tab w:val="decimal" w:pos="787"/>
              </w:tabs>
              <w:rPr>
                <w:rFonts w:ascii="Calibri" w:hAnsi="Calibri" w:cs="Calibri"/>
                <w:color w:val="000000"/>
              </w:rPr>
            </w:pPr>
            <w:r>
              <w:rPr>
                <w:rFonts w:ascii="Calibri" w:hAnsi="Calibri" w:cs="Calibri"/>
                <w:color w:val="000000"/>
              </w:rPr>
              <w:t>2.5</w:t>
            </w:r>
          </w:p>
        </w:tc>
      </w:tr>
      <w:tr w:rsidR="00B16F23" w14:paraId="30A736CF" w14:textId="77777777" w:rsidTr="00C608D6">
        <w:trPr>
          <w:trHeight w:val="20"/>
          <w:jc w:val="center"/>
        </w:trPr>
        <w:tc>
          <w:tcPr>
            <w:tcW w:w="1174" w:type="pct"/>
          </w:tcPr>
          <w:p w14:paraId="3912A188" w14:textId="77777777" w:rsidR="00B16F23" w:rsidRPr="00CB569F" w:rsidRDefault="00B16F23" w:rsidP="00C608D6">
            <w:pPr>
              <w:rPr>
                <w:rFonts w:ascii="Calibri" w:hAnsi="Calibri" w:cs="Calibri"/>
                <w:color w:val="000000"/>
              </w:rPr>
            </w:pPr>
            <w:r w:rsidRPr="00CB569F">
              <w:rPr>
                <w:rFonts w:cstheme="minorHAnsi"/>
              </w:rPr>
              <w:t>Area 4: Enhanced health service delivery systems</w:t>
            </w:r>
          </w:p>
        </w:tc>
        <w:tc>
          <w:tcPr>
            <w:tcW w:w="939" w:type="pct"/>
          </w:tcPr>
          <w:p w14:paraId="1ACBBCAB" w14:textId="77777777" w:rsidR="00B16F23" w:rsidRPr="00EF7914" w:rsidRDefault="00B16F23" w:rsidP="00C608D6">
            <w:pPr>
              <w:rPr>
                <w:rFonts w:ascii="Calibri" w:hAnsi="Calibri" w:cs="Calibri"/>
                <w:color w:val="000000"/>
              </w:rPr>
            </w:pPr>
            <w:r>
              <w:rPr>
                <w:rFonts w:ascii="Calibri" w:hAnsi="Calibri" w:cs="Calibri"/>
                <w:color w:val="000000"/>
              </w:rPr>
              <w:t>Community Health</w:t>
            </w:r>
          </w:p>
        </w:tc>
        <w:tc>
          <w:tcPr>
            <w:tcW w:w="724" w:type="pct"/>
            <w:shd w:val="clear" w:color="auto" w:fill="auto"/>
            <w:vAlign w:val="center"/>
            <w:hideMark/>
          </w:tcPr>
          <w:p w14:paraId="1511B2EE" w14:textId="77777777" w:rsidR="00B16F23" w:rsidRPr="00EF7914" w:rsidRDefault="00B16F23" w:rsidP="00C608D6">
            <w:pPr>
              <w:jc w:val="center"/>
              <w:rPr>
                <w:rFonts w:ascii="Calibri" w:hAnsi="Calibri" w:cs="Calibri"/>
                <w:color w:val="000000"/>
              </w:rPr>
            </w:pPr>
            <w:r>
              <w:rPr>
                <w:rFonts w:ascii="Calibri" w:hAnsi="Calibri" w:cs="Calibri"/>
                <w:color w:val="000000"/>
              </w:rPr>
              <w:t>1.0</w:t>
            </w:r>
          </w:p>
        </w:tc>
        <w:tc>
          <w:tcPr>
            <w:tcW w:w="672" w:type="pct"/>
            <w:shd w:val="clear" w:color="auto" w:fill="auto"/>
            <w:vAlign w:val="center"/>
            <w:hideMark/>
          </w:tcPr>
          <w:p w14:paraId="630A20E3" w14:textId="77777777" w:rsidR="00B16F23" w:rsidRPr="00EF7914" w:rsidRDefault="00B16F23" w:rsidP="00C608D6">
            <w:pPr>
              <w:tabs>
                <w:tab w:val="decimal" w:pos="216"/>
              </w:tabs>
              <w:jc w:val="center"/>
              <w:rPr>
                <w:rFonts w:ascii="Calibri" w:hAnsi="Calibri" w:cs="Calibri"/>
                <w:color w:val="000000"/>
              </w:rPr>
            </w:pPr>
            <w:r>
              <w:rPr>
                <w:rFonts w:ascii="Calibri" w:hAnsi="Calibri" w:cs="Calibri"/>
                <w:color w:val="262626"/>
              </w:rPr>
              <w:t>1.0</w:t>
            </w:r>
          </w:p>
        </w:tc>
        <w:tc>
          <w:tcPr>
            <w:tcW w:w="625" w:type="pct"/>
            <w:shd w:val="clear" w:color="auto" w:fill="auto"/>
            <w:vAlign w:val="center"/>
            <w:hideMark/>
          </w:tcPr>
          <w:p w14:paraId="169C88CC" w14:textId="77777777" w:rsidR="00B16F23" w:rsidRPr="00EF7914" w:rsidRDefault="00B16F23" w:rsidP="00C608D6">
            <w:pPr>
              <w:tabs>
                <w:tab w:val="decimal" w:pos="216"/>
              </w:tabs>
              <w:jc w:val="center"/>
              <w:rPr>
                <w:rFonts w:ascii="Calibri" w:hAnsi="Calibri" w:cs="Calibri"/>
                <w:color w:val="000000"/>
              </w:rPr>
            </w:pPr>
            <w:r>
              <w:rPr>
                <w:rFonts w:ascii="Calibri" w:hAnsi="Calibri" w:cs="Calibri"/>
                <w:color w:val="000000"/>
              </w:rPr>
              <w:t>1.0</w:t>
            </w:r>
          </w:p>
        </w:tc>
        <w:tc>
          <w:tcPr>
            <w:tcW w:w="866" w:type="pct"/>
            <w:shd w:val="clear" w:color="auto" w:fill="auto"/>
            <w:noWrap/>
            <w:vAlign w:val="center"/>
            <w:hideMark/>
          </w:tcPr>
          <w:p w14:paraId="0E38B5E8" w14:textId="77777777" w:rsidR="00B16F23" w:rsidRPr="00EF7914" w:rsidRDefault="00B16F23" w:rsidP="00C608D6">
            <w:pPr>
              <w:tabs>
                <w:tab w:val="decimal" w:pos="787"/>
              </w:tabs>
              <w:rPr>
                <w:rFonts w:ascii="Calibri" w:hAnsi="Calibri" w:cs="Calibri"/>
                <w:color w:val="000000"/>
              </w:rPr>
            </w:pPr>
            <w:r>
              <w:rPr>
                <w:rFonts w:ascii="Calibri" w:hAnsi="Calibri" w:cs="Calibri"/>
                <w:color w:val="000000"/>
              </w:rPr>
              <w:t>3.0</w:t>
            </w:r>
          </w:p>
        </w:tc>
      </w:tr>
      <w:tr w:rsidR="00B16F23" w14:paraId="3A732D9E" w14:textId="77777777" w:rsidTr="00C608D6">
        <w:trPr>
          <w:trHeight w:val="20"/>
          <w:jc w:val="center"/>
        </w:trPr>
        <w:tc>
          <w:tcPr>
            <w:tcW w:w="1174" w:type="pct"/>
          </w:tcPr>
          <w:p w14:paraId="19EE7F83" w14:textId="77777777" w:rsidR="00B16F23" w:rsidRPr="005F7C83" w:rsidRDefault="00B16F23" w:rsidP="00C608D6">
            <w:pPr>
              <w:jc w:val="center"/>
              <w:rPr>
                <w:rFonts w:ascii="Calibri" w:hAnsi="Calibri" w:cs="Calibri"/>
                <w:b/>
                <w:bCs/>
                <w:color w:val="000000"/>
              </w:rPr>
            </w:pPr>
            <w:r w:rsidRPr="005F7C83">
              <w:rPr>
                <w:rFonts w:ascii="Calibri" w:hAnsi="Calibri" w:cs="Calibri"/>
                <w:b/>
                <w:bCs/>
                <w:color w:val="000000"/>
              </w:rPr>
              <w:t>Total</w:t>
            </w:r>
          </w:p>
        </w:tc>
        <w:tc>
          <w:tcPr>
            <w:tcW w:w="939" w:type="pct"/>
          </w:tcPr>
          <w:p w14:paraId="6D9E9609" w14:textId="77777777" w:rsidR="00B16F23" w:rsidRPr="00EF7914" w:rsidRDefault="00B16F23" w:rsidP="00C608D6">
            <w:pPr>
              <w:jc w:val="center"/>
              <w:rPr>
                <w:rFonts w:ascii="Calibri" w:hAnsi="Calibri" w:cs="Calibri"/>
                <w:color w:val="000000"/>
              </w:rPr>
            </w:pPr>
          </w:p>
        </w:tc>
        <w:tc>
          <w:tcPr>
            <w:tcW w:w="724" w:type="pct"/>
            <w:shd w:val="clear" w:color="auto" w:fill="auto"/>
            <w:vAlign w:val="center"/>
            <w:hideMark/>
          </w:tcPr>
          <w:p w14:paraId="77EEC21D" w14:textId="77777777" w:rsidR="00B16F23" w:rsidRPr="00EF7914" w:rsidRDefault="00B16F23" w:rsidP="00C608D6">
            <w:pPr>
              <w:jc w:val="center"/>
              <w:rPr>
                <w:rFonts w:ascii="Calibri" w:hAnsi="Calibri" w:cs="Calibri"/>
                <w:color w:val="000000"/>
              </w:rPr>
            </w:pPr>
            <w:r>
              <w:rPr>
                <w:rFonts w:ascii="Calibri" w:hAnsi="Calibri" w:cs="Calibri"/>
                <w:color w:val="000000"/>
              </w:rPr>
              <w:t>7.0</w:t>
            </w:r>
          </w:p>
        </w:tc>
        <w:tc>
          <w:tcPr>
            <w:tcW w:w="672" w:type="pct"/>
            <w:shd w:val="clear" w:color="auto" w:fill="auto"/>
            <w:vAlign w:val="center"/>
            <w:hideMark/>
          </w:tcPr>
          <w:p w14:paraId="1D99D3A4" w14:textId="77777777" w:rsidR="00B16F23" w:rsidRPr="00EF7914" w:rsidRDefault="00B16F23" w:rsidP="00C608D6">
            <w:pPr>
              <w:tabs>
                <w:tab w:val="decimal" w:pos="216"/>
              </w:tabs>
              <w:jc w:val="center"/>
              <w:rPr>
                <w:rFonts w:ascii="Calibri" w:hAnsi="Calibri" w:cs="Calibri"/>
                <w:color w:val="000000"/>
              </w:rPr>
            </w:pPr>
            <w:r>
              <w:rPr>
                <w:rFonts w:ascii="Calibri" w:hAnsi="Calibri" w:cstheme="minorHAnsi"/>
                <w:color w:val="000000"/>
              </w:rPr>
              <w:t>5.0</w:t>
            </w:r>
          </w:p>
        </w:tc>
        <w:tc>
          <w:tcPr>
            <w:tcW w:w="625" w:type="pct"/>
            <w:shd w:val="clear" w:color="auto" w:fill="auto"/>
            <w:vAlign w:val="center"/>
            <w:hideMark/>
          </w:tcPr>
          <w:p w14:paraId="3158ECDB" w14:textId="77777777" w:rsidR="00B16F23" w:rsidRPr="00EF7914" w:rsidRDefault="00B16F23" w:rsidP="00C608D6">
            <w:pPr>
              <w:tabs>
                <w:tab w:val="decimal" w:pos="216"/>
              </w:tabs>
              <w:jc w:val="center"/>
              <w:rPr>
                <w:rFonts w:ascii="Calibri" w:hAnsi="Calibri" w:cs="Calibri"/>
                <w:color w:val="000000"/>
              </w:rPr>
            </w:pPr>
            <w:r>
              <w:rPr>
                <w:rFonts w:ascii="Calibri" w:hAnsi="Calibri" w:cs="Calibri"/>
                <w:color w:val="000000"/>
              </w:rPr>
              <w:t>8.0</w:t>
            </w:r>
          </w:p>
        </w:tc>
        <w:tc>
          <w:tcPr>
            <w:tcW w:w="866" w:type="pct"/>
            <w:shd w:val="clear" w:color="auto" w:fill="auto"/>
            <w:noWrap/>
            <w:vAlign w:val="center"/>
            <w:hideMark/>
          </w:tcPr>
          <w:p w14:paraId="3B8362D4" w14:textId="77777777" w:rsidR="00B16F23" w:rsidRPr="00EF7914" w:rsidRDefault="00B16F23" w:rsidP="00C608D6">
            <w:pPr>
              <w:tabs>
                <w:tab w:val="decimal" w:pos="787"/>
              </w:tabs>
              <w:rPr>
                <w:rFonts w:ascii="Calibri" w:hAnsi="Calibri" w:cs="Calibri"/>
                <w:color w:val="000000"/>
              </w:rPr>
            </w:pPr>
            <w:r>
              <w:rPr>
                <w:rFonts w:ascii="Calibri" w:hAnsi="Calibri" w:cs="Calibri"/>
                <w:color w:val="000000"/>
              </w:rPr>
              <w:t>20.0</w:t>
            </w:r>
          </w:p>
        </w:tc>
      </w:tr>
      <w:bookmarkEnd w:id="22"/>
    </w:tbl>
    <w:p w14:paraId="6FA9CEA0" w14:textId="77777777" w:rsidR="00B16F23" w:rsidRDefault="00B16F23" w:rsidP="00B16F23"/>
    <w:p w14:paraId="0DD715F4" w14:textId="77777777" w:rsidR="00B16F23" w:rsidRPr="007773A4" w:rsidRDefault="00B16F23" w:rsidP="00B16F23">
      <w:pPr>
        <w:rPr>
          <w:rFonts w:asciiTheme="minorHAnsi" w:hAnsiTheme="minorHAnsi"/>
          <w:bCs/>
          <w:sz w:val="22"/>
          <w:szCs w:val="22"/>
        </w:rPr>
        <w:sectPr w:rsidR="00B16F23" w:rsidRPr="007773A4" w:rsidSect="00044B78">
          <w:pgSz w:w="12240" w:h="15840"/>
          <w:pgMar w:top="1440" w:right="720" w:bottom="1440" w:left="1440" w:header="720" w:footer="720" w:gutter="0"/>
          <w:cols w:space="720"/>
          <w:docGrid w:linePitch="360"/>
        </w:sectPr>
      </w:pPr>
    </w:p>
    <w:p w14:paraId="06500089" w14:textId="040B252E" w:rsidR="007773A4" w:rsidRPr="002824F4" w:rsidRDefault="007773A4" w:rsidP="002824F4">
      <w:pPr>
        <w:spacing w:after="120"/>
        <w:ind w:left="-540"/>
        <w:jc w:val="center"/>
        <w:rPr>
          <w:b/>
          <w:sz w:val="22"/>
          <w:szCs w:val="22"/>
        </w:rPr>
      </w:pPr>
      <w:bookmarkStart w:id="23" w:name="_Toc37773475"/>
      <w:bookmarkStart w:id="24" w:name="_Toc41605716"/>
      <w:r w:rsidRPr="002824F4">
        <w:rPr>
          <w:b/>
          <w:sz w:val="22"/>
          <w:szCs w:val="22"/>
        </w:rPr>
        <w:lastRenderedPageBreak/>
        <w:t xml:space="preserve">Table </w:t>
      </w:r>
      <w:r w:rsidR="002824F4" w:rsidRPr="002824F4">
        <w:rPr>
          <w:b/>
          <w:sz w:val="22"/>
          <w:szCs w:val="22"/>
        </w:rPr>
        <w:t>2</w:t>
      </w:r>
      <w:r w:rsidRPr="002824F4">
        <w:rPr>
          <w:b/>
          <w:sz w:val="22"/>
          <w:szCs w:val="22"/>
        </w:rPr>
        <w:t>: RCRF III PBCs (for FGS, Sub-Component 1.2)</w:t>
      </w:r>
      <w:bookmarkEnd w:id="23"/>
      <w:bookmarkEnd w:id="24"/>
      <w:r w:rsidR="00790862">
        <w:rPr>
          <w:rStyle w:val="FootnoteReference"/>
          <w:b/>
          <w:sz w:val="22"/>
          <w:szCs w:val="22"/>
        </w:rPr>
        <w:footnoteReference w:id="3"/>
      </w:r>
    </w:p>
    <w:tbl>
      <w:tblPr>
        <w:tblW w:w="5352" w:type="pct"/>
        <w:tblInd w:w="-910" w:type="dxa"/>
        <w:tblLook w:val="04A0" w:firstRow="1" w:lastRow="0" w:firstColumn="1" w:lastColumn="0" w:noHBand="0" w:noVBand="1"/>
      </w:tblPr>
      <w:tblGrid>
        <w:gridCol w:w="1800"/>
        <w:gridCol w:w="1889"/>
        <w:gridCol w:w="2072"/>
        <w:gridCol w:w="1618"/>
        <w:gridCol w:w="1618"/>
        <w:gridCol w:w="1618"/>
        <w:gridCol w:w="1618"/>
        <w:gridCol w:w="1618"/>
      </w:tblGrid>
      <w:tr w:rsidR="007773A4" w:rsidRPr="007773A4" w14:paraId="24C34A14" w14:textId="77777777" w:rsidTr="007773A4">
        <w:trPr>
          <w:trHeight w:val="160"/>
          <w:tblHeader/>
        </w:trPr>
        <w:tc>
          <w:tcPr>
            <w:tcW w:w="6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6312DD5"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xml:space="preserve">PBC and Problem Statement </w:t>
            </w:r>
          </w:p>
        </w:tc>
        <w:tc>
          <w:tcPr>
            <w:tcW w:w="682" w:type="pct"/>
            <w:tcBorders>
              <w:top w:val="single" w:sz="8" w:space="0" w:color="auto"/>
              <w:left w:val="nil"/>
              <w:bottom w:val="nil"/>
              <w:right w:val="single" w:sz="8" w:space="0" w:color="auto"/>
            </w:tcBorders>
            <w:shd w:val="clear" w:color="auto" w:fill="auto"/>
            <w:vAlign w:val="center"/>
            <w:hideMark/>
          </w:tcPr>
          <w:p w14:paraId="67B828B5"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Year 0 (2020)</w:t>
            </w:r>
          </w:p>
        </w:tc>
        <w:tc>
          <w:tcPr>
            <w:tcW w:w="1332" w:type="pct"/>
            <w:gridSpan w:val="2"/>
            <w:tcBorders>
              <w:top w:val="single" w:sz="8" w:space="0" w:color="auto"/>
              <w:left w:val="nil"/>
              <w:bottom w:val="single" w:sz="8" w:space="0" w:color="auto"/>
              <w:right w:val="single" w:sz="8" w:space="0" w:color="000000" w:themeColor="text1"/>
            </w:tcBorders>
            <w:shd w:val="clear" w:color="auto" w:fill="auto"/>
            <w:vAlign w:val="center"/>
            <w:hideMark/>
          </w:tcPr>
          <w:p w14:paraId="1EFE89EA"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2021 (RCRF II)</w:t>
            </w:r>
          </w:p>
        </w:tc>
        <w:tc>
          <w:tcPr>
            <w:tcW w:w="1168" w:type="pct"/>
            <w:gridSpan w:val="2"/>
            <w:tcBorders>
              <w:top w:val="single" w:sz="8" w:space="0" w:color="auto"/>
              <w:left w:val="nil"/>
              <w:bottom w:val="single" w:sz="8" w:space="0" w:color="auto"/>
              <w:right w:val="single" w:sz="8" w:space="0" w:color="000000" w:themeColor="text1"/>
            </w:tcBorders>
            <w:shd w:val="clear" w:color="auto" w:fill="D9D9D9" w:themeFill="background1" w:themeFillShade="D9"/>
            <w:vAlign w:val="center"/>
            <w:hideMark/>
          </w:tcPr>
          <w:p w14:paraId="25FD878A"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2022 (RCRF III)</w:t>
            </w:r>
          </w:p>
        </w:tc>
        <w:tc>
          <w:tcPr>
            <w:tcW w:w="1168" w:type="pct"/>
            <w:gridSpan w:val="2"/>
            <w:tcBorders>
              <w:top w:val="single" w:sz="8" w:space="0" w:color="auto"/>
              <w:left w:val="nil"/>
              <w:bottom w:val="single" w:sz="8" w:space="0" w:color="auto"/>
              <w:right w:val="single" w:sz="8" w:space="0" w:color="000000" w:themeColor="text1"/>
            </w:tcBorders>
            <w:shd w:val="clear" w:color="auto" w:fill="D9D9D9" w:themeFill="background1" w:themeFillShade="D9"/>
            <w:vAlign w:val="center"/>
            <w:hideMark/>
          </w:tcPr>
          <w:p w14:paraId="0A456F16"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2023 (RCRF III)</w:t>
            </w:r>
          </w:p>
        </w:tc>
      </w:tr>
      <w:tr w:rsidR="007773A4" w:rsidRPr="007773A4" w14:paraId="0288242F" w14:textId="77777777" w:rsidTr="007773A4">
        <w:trPr>
          <w:trHeight w:val="88"/>
          <w:tblHeader/>
        </w:trPr>
        <w:tc>
          <w:tcPr>
            <w:tcW w:w="650" w:type="pct"/>
            <w:vMerge/>
            <w:tcBorders>
              <w:left w:val="single" w:sz="8" w:space="0" w:color="auto"/>
              <w:bottom w:val="single" w:sz="8" w:space="0" w:color="auto"/>
              <w:right w:val="single" w:sz="8" w:space="0" w:color="auto"/>
            </w:tcBorders>
            <w:vAlign w:val="center"/>
            <w:hideMark/>
          </w:tcPr>
          <w:p w14:paraId="72FDA5BF" w14:textId="77777777" w:rsidR="007773A4" w:rsidRPr="007773A4" w:rsidRDefault="007773A4" w:rsidP="007773A4">
            <w:pPr>
              <w:rPr>
                <w:rFonts w:ascii="Calibri" w:hAnsi="Calibri" w:cs="Calibri"/>
                <w:b/>
                <w:bCs/>
                <w:sz w:val="16"/>
                <w:szCs w:val="16"/>
              </w:rPr>
            </w:pPr>
          </w:p>
        </w:tc>
        <w:tc>
          <w:tcPr>
            <w:tcW w:w="682" w:type="pct"/>
            <w:tcBorders>
              <w:top w:val="nil"/>
              <w:left w:val="single" w:sz="8" w:space="0" w:color="auto"/>
              <w:bottom w:val="single" w:sz="8" w:space="0" w:color="auto"/>
              <w:right w:val="single" w:sz="8" w:space="0" w:color="auto"/>
            </w:tcBorders>
            <w:shd w:val="clear" w:color="auto" w:fill="auto"/>
            <w:vAlign w:val="center"/>
            <w:hideMark/>
          </w:tcPr>
          <w:p w14:paraId="07CC9158"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w:t>
            </w:r>
          </w:p>
        </w:tc>
        <w:tc>
          <w:tcPr>
            <w:tcW w:w="748" w:type="pct"/>
            <w:tcBorders>
              <w:top w:val="nil"/>
              <w:left w:val="nil"/>
              <w:bottom w:val="single" w:sz="8" w:space="0" w:color="auto"/>
              <w:right w:val="single" w:sz="8" w:space="0" w:color="auto"/>
            </w:tcBorders>
            <w:shd w:val="clear" w:color="auto" w:fill="auto"/>
            <w:vAlign w:val="center"/>
            <w:hideMark/>
          </w:tcPr>
          <w:p w14:paraId="4DF0814F"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(February 2021)</w:t>
            </w:r>
          </w:p>
        </w:tc>
        <w:tc>
          <w:tcPr>
            <w:tcW w:w="584" w:type="pct"/>
            <w:tcBorders>
              <w:top w:val="nil"/>
              <w:left w:val="nil"/>
              <w:bottom w:val="single" w:sz="8" w:space="0" w:color="auto"/>
              <w:right w:val="single" w:sz="8" w:space="0" w:color="auto"/>
            </w:tcBorders>
            <w:shd w:val="clear" w:color="auto" w:fill="auto"/>
            <w:vAlign w:val="center"/>
            <w:hideMark/>
          </w:tcPr>
          <w:p w14:paraId="1E9D9136"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(August 2021)</w:t>
            </w:r>
          </w:p>
        </w:tc>
        <w:tc>
          <w:tcPr>
            <w:tcW w:w="584" w:type="pct"/>
            <w:tcBorders>
              <w:top w:val="nil"/>
              <w:left w:val="nil"/>
              <w:bottom w:val="single" w:sz="8" w:space="0" w:color="auto"/>
              <w:right w:val="single" w:sz="8" w:space="0" w:color="auto"/>
            </w:tcBorders>
            <w:shd w:val="clear" w:color="auto" w:fill="D9D9D9" w:themeFill="background1" w:themeFillShade="D9"/>
            <w:vAlign w:val="center"/>
            <w:hideMark/>
          </w:tcPr>
          <w:p w14:paraId="1DD89278"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June</w:t>
            </w:r>
          </w:p>
        </w:tc>
        <w:tc>
          <w:tcPr>
            <w:tcW w:w="584" w:type="pct"/>
            <w:tcBorders>
              <w:top w:val="nil"/>
              <w:left w:val="nil"/>
              <w:bottom w:val="single" w:sz="8" w:space="0" w:color="auto"/>
              <w:right w:val="single" w:sz="8" w:space="0" w:color="auto"/>
            </w:tcBorders>
            <w:shd w:val="clear" w:color="auto" w:fill="D9D9D9" w:themeFill="background1" w:themeFillShade="D9"/>
            <w:vAlign w:val="center"/>
            <w:hideMark/>
          </w:tcPr>
          <w:p w14:paraId="1877D4DF"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November</w:t>
            </w:r>
          </w:p>
        </w:tc>
        <w:tc>
          <w:tcPr>
            <w:tcW w:w="584" w:type="pct"/>
            <w:tcBorders>
              <w:top w:val="nil"/>
              <w:left w:val="nil"/>
              <w:bottom w:val="single" w:sz="8" w:space="0" w:color="auto"/>
              <w:right w:val="single" w:sz="8" w:space="0" w:color="auto"/>
            </w:tcBorders>
            <w:shd w:val="clear" w:color="auto" w:fill="D9D9D9" w:themeFill="background1" w:themeFillShade="D9"/>
            <w:vAlign w:val="center"/>
            <w:hideMark/>
          </w:tcPr>
          <w:p w14:paraId="482E293B"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June</w:t>
            </w:r>
          </w:p>
        </w:tc>
        <w:tc>
          <w:tcPr>
            <w:tcW w:w="584" w:type="pct"/>
            <w:tcBorders>
              <w:top w:val="nil"/>
              <w:left w:val="nil"/>
              <w:bottom w:val="single" w:sz="8" w:space="0" w:color="auto"/>
              <w:right w:val="single" w:sz="8" w:space="0" w:color="auto"/>
            </w:tcBorders>
            <w:shd w:val="clear" w:color="auto" w:fill="D9D9D9" w:themeFill="background1" w:themeFillShade="D9"/>
            <w:vAlign w:val="center"/>
            <w:hideMark/>
          </w:tcPr>
          <w:p w14:paraId="2DF09B72"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November</w:t>
            </w:r>
          </w:p>
        </w:tc>
      </w:tr>
      <w:tr w:rsidR="007773A4" w:rsidRPr="007773A4" w14:paraId="013ECC65" w14:textId="77777777" w:rsidTr="007773A4">
        <w:trPr>
          <w:trHeight w:val="850"/>
        </w:trPr>
        <w:tc>
          <w:tcPr>
            <w:tcW w:w="650" w:type="pct"/>
            <w:tcBorders>
              <w:top w:val="single" w:sz="8" w:space="0" w:color="auto"/>
              <w:left w:val="single" w:sz="8" w:space="0" w:color="auto"/>
              <w:bottom w:val="single" w:sz="8" w:space="0" w:color="auto"/>
              <w:right w:val="single" w:sz="8" w:space="0" w:color="auto"/>
            </w:tcBorders>
            <w:shd w:val="clear" w:color="auto" w:fill="auto"/>
            <w:hideMark/>
          </w:tcPr>
          <w:p w14:paraId="3BE0C24B" w14:textId="77777777" w:rsidR="007773A4" w:rsidRPr="007773A4" w:rsidRDefault="007773A4" w:rsidP="007773A4">
            <w:pPr>
              <w:rPr>
                <w:rFonts w:ascii="Calibri" w:hAnsi="Calibri" w:cs="Calibri"/>
                <w:b/>
                <w:bCs/>
                <w:sz w:val="16"/>
                <w:szCs w:val="16"/>
              </w:rPr>
            </w:pPr>
            <w:bookmarkStart w:id="25" w:name="RANGE!B7"/>
            <w:r w:rsidRPr="007773A4">
              <w:rPr>
                <w:rFonts w:ascii="Calibri" w:hAnsi="Calibri" w:cs="Calibri"/>
                <w:b/>
                <w:bCs/>
                <w:sz w:val="16"/>
                <w:szCs w:val="16"/>
              </w:rPr>
              <w:t>1. Strengthen customs administration as per the customs reform action plan</w:t>
            </w:r>
            <w:bookmarkEnd w:id="25"/>
          </w:p>
        </w:tc>
        <w:tc>
          <w:tcPr>
            <w:tcW w:w="682" w:type="pct"/>
            <w:tcBorders>
              <w:top w:val="nil"/>
              <w:left w:val="nil"/>
              <w:bottom w:val="single" w:sz="8" w:space="0" w:color="auto"/>
              <w:right w:val="single" w:sz="8" w:space="0" w:color="auto"/>
            </w:tcBorders>
            <w:shd w:val="clear" w:color="auto" w:fill="auto"/>
            <w:hideMark/>
          </w:tcPr>
          <w:p w14:paraId="388A78F6"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xml:space="preserve">Poor systems capacity: organizational, technology, HR and workflows to support effective and efficient customs management. </w:t>
            </w:r>
          </w:p>
        </w:tc>
        <w:tc>
          <w:tcPr>
            <w:tcW w:w="748" w:type="pct"/>
            <w:tcBorders>
              <w:top w:val="nil"/>
              <w:left w:val="nil"/>
              <w:bottom w:val="single" w:sz="8" w:space="0" w:color="auto"/>
              <w:right w:val="single" w:sz="8" w:space="0" w:color="auto"/>
            </w:tcBorders>
            <w:shd w:val="clear" w:color="auto" w:fill="auto"/>
            <w:hideMark/>
          </w:tcPr>
          <w:p w14:paraId="334F4B50" w14:textId="319ECB62" w:rsidR="007773A4" w:rsidRPr="007773A4" w:rsidRDefault="007773A4" w:rsidP="007773A4">
            <w:pPr>
              <w:rPr>
                <w:rFonts w:ascii="Calibri" w:hAnsi="Calibri" w:cs="Calibri"/>
                <w:sz w:val="16"/>
                <w:szCs w:val="16"/>
              </w:rPr>
            </w:pPr>
          </w:p>
        </w:tc>
        <w:tc>
          <w:tcPr>
            <w:tcW w:w="584" w:type="pct"/>
            <w:tcBorders>
              <w:top w:val="nil"/>
              <w:left w:val="nil"/>
              <w:bottom w:val="single" w:sz="8" w:space="0" w:color="auto"/>
              <w:right w:val="single" w:sz="8" w:space="0" w:color="auto"/>
            </w:tcBorders>
            <w:shd w:val="clear" w:color="auto" w:fill="auto"/>
            <w:hideMark/>
          </w:tcPr>
          <w:p w14:paraId="0408FCA8"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w:t>
            </w:r>
          </w:p>
        </w:tc>
        <w:tc>
          <w:tcPr>
            <w:tcW w:w="584" w:type="pct"/>
            <w:tcBorders>
              <w:top w:val="nil"/>
              <w:left w:val="nil"/>
              <w:bottom w:val="single" w:sz="8" w:space="0" w:color="auto"/>
              <w:right w:val="single" w:sz="8" w:space="0" w:color="auto"/>
            </w:tcBorders>
            <w:shd w:val="clear" w:color="auto" w:fill="D9D9D9" w:themeFill="background1" w:themeFillShade="D9"/>
            <w:hideMark/>
          </w:tcPr>
          <w:p w14:paraId="67D15C2C"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1.1. MoF has developed and operationalized the new IT system, as well as its manuals of procedures</w:t>
            </w:r>
          </w:p>
        </w:tc>
        <w:tc>
          <w:tcPr>
            <w:tcW w:w="584" w:type="pct"/>
            <w:tcBorders>
              <w:top w:val="nil"/>
              <w:left w:val="nil"/>
              <w:bottom w:val="single" w:sz="8" w:space="0" w:color="auto"/>
              <w:right w:val="single" w:sz="8" w:space="0" w:color="auto"/>
            </w:tcBorders>
            <w:shd w:val="clear" w:color="auto" w:fill="D9D9D9" w:themeFill="background1" w:themeFillShade="D9"/>
          </w:tcPr>
          <w:p w14:paraId="65C9E517" w14:textId="77777777" w:rsidR="007773A4" w:rsidRPr="007773A4" w:rsidRDefault="007773A4" w:rsidP="007773A4">
            <w:pPr>
              <w:rPr>
                <w:rFonts w:ascii="Calibri" w:hAnsi="Calibri" w:cs="Calibri"/>
                <w:sz w:val="16"/>
                <w:szCs w:val="16"/>
              </w:rPr>
            </w:pPr>
          </w:p>
        </w:tc>
        <w:tc>
          <w:tcPr>
            <w:tcW w:w="584" w:type="pct"/>
            <w:tcBorders>
              <w:top w:val="nil"/>
              <w:left w:val="nil"/>
              <w:bottom w:val="single" w:sz="8" w:space="0" w:color="auto"/>
              <w:right w:val="single" w:sz="8" w:space="0" w:color="auto"/>
            </w:tcBorders>
            <w:shd w:val="clear" w:color="auto" w:fill="D9D9D9" w:themeFill="background1" w:themeFillShade="D9"/>
            <w:hideMark/>
          </w:tcPr>
          <w:p w14:paraId="0D668CC8"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1.2. MoF has completed a simplified functional review of FGS customs to better allocate HR in customs.</w:t>
            </w:r>
          </w:p>
        </w:tc>
        <w:tc>
          <w:tcPr>
            <w:tcW w:w="584" w:type="pct"/>
            <w:tcBorders>
              <w:top w:val="nil"/>
              <w:left w:val="nil"/>
              <w:bottom w:val="single" w:sz="8" w:space="0" w:color="auto"/>
              <w:right w:val="single" w:sz="8" w:space="0" w:color="auto"/>
            </w:tcBorders>
            <w:shd w:val="clear" w:color="auto" w:fill="D9D9D9" w:themeFill="background1" w:themeFillShade="D9"/>
          </w:tcPr>
          <w:p w14:paraId="32339DF0" w14:textId="77777777" w:rsidR="007773A4" w:rsidRPr="007773A4" w:rsidRDefault="007773A4" w:rsidP="007773A4">
            <w:pPr>
              <w:rPr>
                <w:rFonts w:ascii="Calibri" w:hAnsi="Calibri" w:cs="Calibri"/>
                <w:sz w:val="16"/>
                <w:szCs w:val="16"/>
              </w:rPr>
            </w:pPr>
          </w:p>
        </w:tc>
      </w:tr>
      <w:tr w:rsidR="007773A4" w:rsidRPr="007773A4" w14:paraId="1EF36B34" w14:textId="77777777" w:rsidTr="007773A4">
        <w:trPr>
          <w:trHeight w:val="36"/>
        </w:trPr>
        <w:tc>
          <w:tcPr>
            <w:tcW w:w="650" w:type="pct"/>
            <w:tcBorders>
              <w:top w:val="nil"/>
              <w:left w:val="single" w:sz="8" w:space="0" w:color="auto"/>
              <w:bottom w:val="single" w:sz="8" w:space="0" w:color="auto"/>
              <w:right w:val="single" w:sz="8" w:space="0" w:color="auto"/>
            </w:tcBorders>
            <w:shd w:val="clear" w:color="auto" w:fill="auto"/>
            <w:vAlign w:val="center"/>
            <w:hideMark/>
          </w:tcPr>
          <w:p w14:paraId="6133E7C0"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1.3</w:t>
            </w:r>
          </w:p>
        </w:tc>
        <w:tc>
          <w:tcPr>
            <w:tcW w:w="682" w:type="pct"/>
            <w:tcBorders>
              <w:top w:val="nil"/>
              <w:left w:val="nil"/>
              <w:bottom w:val="single" w:sz="8" w:space="0" w:color="auto"/>
              <w:right w:val="single" w:sz="8" w:space="0" w:color="auto"/>
            </w:tcBorders>
            <w:shd w:val="clear" w:color="auto" w:fill="auto"/>
            <w:vAlign w:val="center"/>
            <w:hideMark/>
          </w:tcPr>
          <w:p w14:paraId="1F4E9F46"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c>
          <w:tcPr>
            <w:tcW w:w="748" w:type="pct"/>
            <w:tcBorders>
              <w:top w:val="nil"/>
              <w:left w:val="nil"/>
              <w:bottom w:val="single" w:sz="8" w:space="0" w:color="auto"/>
              <w:right w:val="single" w:sz="8" w:space="0" w:color="auto"/>
            </w:tcBorders>
            <w:shd w:val="clear" w:color="auto" w:fill="auto"/>
            <w:vAlign w:val="center"/>
            <w:hideMark/>
          </w:tcPr>
          <w:p w14:paraId="2640FC4D"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c>
          <w:tcPr>
            <w:tcW w:w="584" w:type="pct"/>
            <w:tcBorders>
              <w:top w:val="nil"/>
              <w:left w:val="nil"/>
              <w:bottom w:val="single" w:sz="8" w:space="0" w:color="auto"/>
              <w:right w:val="single" w:sz="8" w:space="0" w:color="auto"/>
            </w:tcBorders>
            <w:shd w:val="clear" w:color="auto" w:fill="auto"/>
            <w:vAlign w:val="center"/>
            <w:hideMark/>
          </w:tcPr>
          <w:p w14:paraId="261BCE78"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c>
          <w:tcPr>
            <w:tcW w:w="584" w:type="pct"/>
            <w:tcBorders>
              <w:top w:val="nil"/>
              <w:left w:val="nil"/>
              <w:bottom w:val="single" w:sz="8" w:space="0" w:color="auto"/>
              <w:right w:val="single" w:sz="8" w:space="0" w:color="auto"/>
            </w:tcBorders>
            <w:shd w:val="clear" w:color="auto" w:fill="D9D9D9" w:themeFill="background1" w:themeFillShade="D9"/>
            <w:vAlign w:val="center"/>
            <w:hideMark/>
          </w:tcPr>
          <w:p w14:paraId="13CCA9CA"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1.0</w:t>
            </w:r>
          </w:p>
        </w:tc>
        <w:tc>
          <w:tcPr>
            <w:tcW w:w="584" w:type="pct"/>
            <w:tcBorders>
              <w:top w:val="nil"/>
              <w:left w:val="nil"/>
              <w:bottom w:val="single" w:sz="8" w:space="0" w:color="auto"/>
              <w:right w:val="single" w:sz="8" w:space="0" w:color="auto"/>
            </w:tcBorders>
            <w:shd w:val="clear" w:color="auto" w:fill="D9D9D9" w:themeFill="background1" w:themeFillShade="D9"/>
            <w:vAlign w:val="center"/>
          </w:tcPr>
          <w:p w14:paraId="2D9A55D8" w14:textId="77777777" w:rsidR="007773A4" w:rsidRPr="007773A4" w:rsidRDefault="007773A4" w:rsidP="007773A4">
            <w:pPr>
              <w:jc w:val="center"/>
              <w:rPr>
                <w:rFonts w:ascii="Calibri" w:hAnsi="Calibri" w:cs="Calibri"/>
                <w:b/>
                <w:bCs/>
                <w:sz w:val="16"/>
                <w:szCs w:val="16"/>
              </w:rPr>
            </w:pPr>
          </w:p>
        </w:tc>
        <w:tc>
          <w:tcPr>
            <w:tcW w:w="584" w:type="pct"/>
            <w:tcBorders>
              <w:top w:val="nil"/>
              <w:left w:val="nil"/>
              <w:bottom w:val="single" w:sz="8" w:space="0" w:color="auto"/>
              <w:right w:val="single" w:sz="8" w:space="0" w:color="auto"/>
            </w:tcBorders>
            <w:shd w:val="clear" w:color="auto" w:fill="D9D9D9" w:themeFill="background1" w:themeFillShade="D9"/>
            <w:vAlign w:val="center"/>
            <w:hideMark/>
          </w:tcPr>
          <w:p w14:paraId="14DC006F"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0.3</w:t>
            </w:r>
          </w:p>
        </w:tc>
        <w:tc>
          <w:tcPr>
            <w:tcW w:w="584" w:type="pct"/>
            <w:tcBorders>
              <w:top w:val="nil"/>
              <w:left w:val="nil"/>
              <w:bottom w:val="single" w:sz="8" w:space="0" w:color="auto"/>
              <w:right w:val="single" w:sz="8" w:space="0" w:color="auto"/>
            </w:tcBorders>
            <w:shd w:val="clear" w:color="auto" w:fill="D9D9D9" w:themeFill="background1" w:themeFillShade="D9"/>
            <w:vAlign w:val="center"/>
          </w:tcPr>
          <w:p w14:paraId="5709684E" w14:textId="77777777" w:rsidR="007773A4" w:rsidRPr="007773A4" w:rsidRDefault="007773A4" w:rsidP="007773A4">
            <w:pPr>
              <w:jc w:val="center"/>
              <w:rPr>
                <w:rFonts w:ascii="Calibri" w:hAnsi="Calibri" w:cs="Calibri"/>
                <w:b/>
                <w:bCs/>
                <w:sz w:val="16"/>
                <w:szCs w:val="16"/>
              </w:rPr>
            </w:pPr>
          </w:p>
        </w:tc>
      </w:tr>
      <w:tr w:rsidR="007773A4" w:rsidRPr="007773A4" w14:paraId="3640B397" w14:textId="77777777" w:rsidTr="007773A4">
        <w:trPr>
          <w:trHeight w:val="1690"/>
        </w:trPr>
        <w:tc>
          <w:tcPr>
            <w:tcW w:w="650" w:type="pct"/>
            <w:tcBorders>
              <w:top w:val="nil"/>
              <w:left w:val="single" w:sz="8" w:space="0" w:color="auto"/>
              <w:bottom w:val="single" w:sz="8" w:space="0" w:color="auto"/>
              <w:right w:val="single" w:sz="8" w:space="0" w:color="auto"/>
            </w:tcBorders>
            <w:shd w:val="clear" w:color="auto" w:fill="auto"/>
            <w:hideMark/>
          </w:tcPr>
          <w:p w14:paraId="7B646ED2" w14:textId="77777777" w:rsidR="007773A4" w:rsidRPr="007773A4" w:rsidRDefault="007773A4" w:rsidP="007773A4">
            <w:pPr>
              <w:rPr>
                <w:rFonts w:ascii="Calibri" w:hAnsi="Calibri" w:cs="Calibri"/>
                <w:b/>
                <w:bCs/>
                <w:sz w:val="16"/>
                <w:szCs w:val="16"/>
              </w:rPr>
            </w:pPr>
            <w:bookmarkStart w:id="26" w:name="RANGE!B9"/>
            <w:r w:rsidRPr="007773A4">
              <w:rPr>
                <w:rFonts w:ascii="Calibri" w:hAnsi="Calibri" w:cs="Calibri"/>
                <w:b/>
                <w:bCs/>
                <w:sz w:val="16"/>
                <w:szCs w:val="16"/>
              </w:rPr>
              <w:t>2. Strengthen payment process for operational expenditures</w:t>
            </w:r>
            <w:r w:rsidRPr="007773A4">
              <w:rPr>
                <w:rFonts w:ascii="Calibri" w:hAnsi="Calibri" w:cs="Calibri"/>
                <w:sz w:val="16"/>
                <w:szCs w:val="16"/>
              </w:rPr>
              <w:t xml:space="preserve"> </w:t>
            </w:r>
            <w:bookmarkEnd w:id="26"/>
          </w:p>
        </w:tc>
        <w:tc>
          <w:tcPr>
            <w:tcW w:w="682" w:type="pct"/>
            <w:tcBorders>
              <w:top w:val="nil"/>
              <w:left w:val="nil"/>
              <w:bottom w:val="single" w:sz="8" w:space="0" w:color="auto"/>
              <w:right w:val="single" w:sz="8" w:space="0" w:color="auto"/>
            </w:tcBorders>
            <w:shd w:val="clear" w:color="auto" w:fill="auto"/>
            <w:hideMark/>
          </w:tcPr>
          <w:p w14:paraId="56FC72B0"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Payment process involves parallel manual and electronic steps, multiple approval steps are required, new PFM law not yet reflected in business processes.</w:t>
            </w:r>
          </w:p>
        </w:tc>
        <w:tc>
          <w:tcPr>
            <w:tcW w:w="748" w:type="pct"/>
            <w:tcBorders>
              <w:top w:val="nil"/>
              <w:left w:val="nil"/>
              <w:bottom w:val="single" w:sz="8" w:space="0" w:color="auto"/>
              <w:right w:val="single" w:sz="8" w:space="0" w:color="auto"/>
            </w:tcBorders>
            <w:shd w:val="clear" w:color="auto" w:fill="auto"/>
            <w:hideMark/>
          </w:tcPr>
          <w:p w14:paraId="2DC8A248" w14:textId="33ED309D" w:rsidR="007773A4" w:rsidRPr="007773A4" w:rsidRDefault="007773A4" w:rsidP="007773A4">
            <w:pPr>
              <w:rPr>
                <w:rFonts w:ascii="Calibri" w:hAnsi="Calibri" w:cs="Calibri"/>
                <w:sz w:val="16"/>
                <w:szCs w:val="16"/>
              </w:rPr>
            </w:pPr>
          </w:p>
        </w:tc>
        <w:tc>
          <w:tcPr>
            <w:tcW w:w="584" w:type="pct"/>
            <w:tcBorders>
              <w:top w:val="nil"/>
              <w:left w:val="nil"/>
              <w:bottom w:val="single" w:sz="8" w:space="0" w:color="auto"/>
              <w:right w:val="single" w:sz="8" w:space="0" w:color="auto"/>
            </w:tcBorders>
            <w:shd w:val="clear" w:color="auto" w:fill="auto"/>
            <w:hideMark/>
          </w:tcPr>
          <w:p w14:paraId="05065D8E"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w:t>
            </w:r>
          </w:p>
        </w:tc>
        <w:tc>
          <w:tcPr>
            <w:tcW w:w="584" w:type="pct"/>
            <w:tcBorders>
              <w:top w:val="nil"/>
              <w:left w:val="nil"/>
              <w:bottom w:val="single" w:sz="8" w:space="0" w:color="auto"/>
              <w:right w:val="single" w:sz="8" w:space="0" w:color="auto"/>
            </w:tcBorders>
            <w:shd w:val="clear" w:color="auto" w:fill="D9D9D9" w:themeFill="background1" w:themeFillShade="D9"/>
          </w:tcPr>
          <w:p w14:paraId="603FC94E" w14:textId="77777777" w:rsidR="007773A4" w:rsidRPr="007773A4" w:rsidRDefault="007773A4" w:rsidP="007773A4">
            <w:pPr>
              <w:rPr>
                <w:rFonts w:ascii="Calibri" w:hAnsi="Calibri" w:cs="Calibri"/>
                <w:sz w:val="16"/>
                <w:szCs w:val="16"/>
              </w:rPr>
            </w:pPr>
          </w:p>
        </w:tc>
        <w:tc>
          <w:tcPr>
            <w:tcW w:w="584" w:type="pct"/>
            <w:tcBorders>
              <w:top w:val="nil"/>
              <w:left w:val="nil"/>
              <w:bottom w:val="single" w:sz="8" w:space="0" w:color="auto"/>
              <w:right w:val="single" w:sz="8" w:space="0" w:color="auto"/>
            </w:tcBorders>
            <w:shd w:val="clear" w:color="auto" w:fill="D9D9D9" w:themeFill="background1" w:themeFillShade="D9"/>
            <w:hideMark/>
          </w:tcPr>
          <w:p w14:paraId="0A1AA26F"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2.1. MoF has: (i) completed a business process review for FGS’ payment; and (ii) prepared/issued a business process review report including the processing of fiscal transfers and education and health sector payments.</w:t>
            </w:r>
          </w:p>
        </w:tc>
        <w:tc>
          <w:tcPr>
            <w:tcW w:w="584" w:type="pct"/>
            <w:tcBorders>
              <w:top w:val="nil"/>
              <w:left w:val="nil"/>
              <w:bottom w:val="single" w:sz="8" w:space="0" w:color="auto"/>
              <w:right w:val="single" w:sz="8" w:space="0" w:color="auto"/>
            </w:tcBorders>
            <w:shd w:val="clear" w:color="auto" w:fill="D9D9D9" w:themeFill="background1" w:themeFillShade="D9"/>
          </w:tcPr>
          <w:p w14:paraId="3AD641C9" w14:textId="77777777" w:rsidR="007773A4" w:rsidRPr="007773A4" w:rsidRDefault="007773A4" w:rsidP="007773A4">
            <w:pPr>
              <w:rPr>
                <w:rFonts w:ascii="Calibri" w:hAnsi="Calibri" w:cs="Calibri"/>
                <w:sz w:val="16"/>
                <w:szCs w:val="16"/>
              </w:rPr>
            </w:pPr>
          </w:p>
        </w:tc>
        <w:tc>
          <w:tcPr>
            <w:tcW w:w="584" w:type="pct"/>
            <w:tcBorders>
              <w:top w:val="nil"/>
              <w:left w:val="nil"/>
              <w:bottom w:val="single" w:sz="8" w:space="0" w:color="auto"/>
              <w:right w:val="single" w:sz="8" w:space="0" w:color="auto"/>
            </w:tcBorders>
            <w:shd w:val="clear" w:color="auto" w:fill="D9D9D9" w:themeFill="background1" w:themeFillShade="D9"/>
          </w:tcPr>
          <w:p w14:paraId="48A67E1B"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2.2. MoF has approved comprehensive procedures aligned with the business process review for following areas: (i) planning and budgeting; (ii) internal controls; and (iii) accounting procedures.</w:t>
            </w:r>
          </w:p>
        </w:tc>
      </w:tr>
      <w:tr w:rsidR="007773A4" w:rsidRPr="007773A4" w14:paraId="7858FF25" w14:textId="77777777" w:rsidTr="007773A4">
        <w:trPr>
          <w:trHeight w:val="36"/>
        </w:trPr>
        <w:tc>
          <w:tcPr>
            <w:tcW w:w="650" w:type="pct"/>
            <w:tcBorders>
              <w:top w:val="nil"/>
              <w:left w:val="single" w:sz="8" w:space="0" w:color="auto"/>
              <w:bottom w:val="single" w:sz="8" w:space="0" w:color="auto"/>
              <w:right w:val="single" w:sz="8" w:space="0" w:color="auto"/>
            </w:tcBorders>
            <w:shd w:val="clear" w:color="auto" w:fill="auto"/>
            <w:vAlign w:val="center"/>
            <w:hideMark/>
          </w:tcPr>
          <w:p w14:paraId="6B368344"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1.3</w:t>
            </w:r>
          </w:p>
        </w:tc>
        <w:tc>
          <w:tcPr>
            <w:tcW w:w="682" w:type="pct"/>
            <w:tcBorders>
              <w:top w:val="nil"/>
              <w:left w:val="nil"/>
              <w:bottom w:val="single" w:sz="8" w:space="0" w:color="auto"/>
              <w:right w:val="single" w:sz="8" w:space="0" w:color="auto"/>
            </w:tcBorders>
            <w:shd w:val="clear" w:color="auto" w:fill="auto"/>
            <w:vAlign w:val="center"/>
            <w:hideMark/>
          </w:tcPr>
          <w:p w14:paraId="2556B89F"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c>
          <w:tcPr>
            <w:tcW w:w="748" w:type="pct"/>
            <w:tcBorders>
              <w:top w:val="nil"/>
              <w:left w:val="nil"/>
              <w:bottom w:val="single" w:sz="8" w:space="0" w:color="auto"/>
              <w:right w:val="single" w:sz="8" w:space="0" w:color="auto"/>
            </w:tcBorders>
            <w:shd w:val="clear" w:color="auto" w:fill="auto"/>
            <w:vAlign w:val="center"/>
            <w:hideMark/>
          </w:tcPr>
          <w:p w14:paraId="0AF57B6A"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c>
          <w:tcPr>
            <w:tcW w:w="584" w:type="pct"/>
            <w:tcBorders>
              <w:top w:val="nil"/>
              <w:left w:val="nil"/>
              <w:bottom w:val="single" w:sz="8" w:space="0" w:color="auto"/>
              <w:right w:val="single" w:sz="8" w:space="0" w:color="auto"/>
            </w:tcBorders>
            <w:shd w:val="clear" w:color="auto" w:fill="auto"/>
            <w:vAlign w:val="center"/>
            <w:hideMark/>
          </w:tcPr>
          <w:p w14:paraId="068C4836"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c>
          <w:tcPr>
            <w:tcW w:w="584" w:type="pct"/>
            <w:tcBorders>
              <w:top w:val="nil"/>
              <w:left w:val="nil"/>
              <w:bottom w:val="single" w:sz="8" w:space="0" w:color="auto"/>
              <w:right w:val="single" w:sz="8" w:space="0" w:color="auto"/>
            </w:tcBorders>
            <w:shd w:val="clear" w:color="auto" w:fill="D9D9D9" w:themeFill="background1" w:themeFillShade="D9"/>
            <w:vAlign w:val="center"/>
          </w:tcPr>
          <w:p w14:paraId="4EBAE3A8" w14:textId="77777777" w:rsidR="007773A4" w:rsidRPr="007773A4" w:rsidRDefault="007773A4" w:rsidP="007773A4">
            <w:pPr>
              <w:jc w:val="center"/>
              <w:rPr>
                <w:rFonts w:ascii="Calibri" w:hAnsi="Calibri" w:cs="Calibri"/>
                <w:b/>
                <w:bCs/>
                <w:sz w:val="16"/>
                <w:szCs w:val="16"/>
              </w:rPr>
            </w:pPr>
          </w:p>
        </w:tc>
        <w:tc>
          <w:tcPr>
            <w:tcW w:w="584" w:type="pct"/>
            <w:tcBorders>
              <w:top w:val="nil"/>
              <w:left w:val="nil"/>
              <w:bottom w:val="single" w:sz="8" w:space="0" w:color="auto"/>
              <w:right w:val="single" w:sz="8" w:space="0" w:color="auto"/>
            </w:tcBorders>
            <w:shd w:val="clear" w:color="auto" w:fill="D9D9D9" w:themeFill="background1" w:themeFillShade="D9"/>
            <w:vAlign w:val="center"/>
            <w:hideMark/>
          </w:tcPr>
          <w:p w14:paraId="72BC8C07"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1.0</w:t>
            </w:r>
          </w:p>
        </w:tc>
        <w:tc>
          <w:tcPr>
            <w:tcW w:w="584" w:type="pct"/>
            <w:tcBorders>
              <w:top w:val="nil"/>
              <w:left w:val="nil"/>
              <w:bottom w:val="single" w:sz="8" w:space="0" w:color="auto"/>
              <w:right w:val="single" w:sz="8" w:space="0" w:color="auto"/>
            </w:tcBorders>
            <w:shd w:val="clear" w:color="auto" w:fill="D9D9D9" w:themeFill="background1" w:themeFillShade="D9"/>
            <w:vAlign w:val="center"/>
            <w:hideMark/>
          </w:tcPr>
          <w:p w14:paraId="4654ED3E" w14:textId="77777777" w:rsidR="007773A4" w:rsidRPr="007773A4" w:rsidRDefault="007773A4" w:rsidP="007773A4">
            <w:pPr>
              <w:jc w:val="center"/>
              <w:rPr>
                <w:rFonts w:ascii="Calibri" w:hAnsi="Calibri" w:cs="Calibri"/>
                <w:b/>
                <w:bCs/>
                <w:sz w:val="16"/>
                <w:szCs w:val="16"/>
              </w:rPr>
            </w:pPr>
          </w:p>
        </w:tc>
        <w:tc>
          <w:tcPr>
            <w:tcW w:w="584" w:type="pct"/>
            <w:tcBorders>
              <w:top w:val="nil"/>
              <w:left w:val="nil"/>
              <w:bottom w:val="single" w:sz="8" w:space="0" w:color="auto"/>
              <w:right w:val="single" w:sz="8" w:space="0" w:color="auto"/>
            </w:tcBorders>
            <w:shd w:val="clear" w:color="auto" w:fill="D9D9D9" w:themeFill="background1" w:themeFillShade="D9"/>
            <w:vAlign w:val="center"/>
            <w:hideMark/>
          </w:tcPr>
          <w:p w14:paraId="431E3160"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0.3</w:t>
            </w:r>
          </w:p>
        </w:tc>
      </w:tr>
      <w:tr w:rsidR="007773A4" w:rsidRPr="007773A4" w14:paraId="4D79C8EC" w14:textId="77777777" w:rsidTr="007773A4">
        <w:trPr>
          <w:trHeight w:val="187"/>
        </w:trPr>
        <w:tc>
          <w:tcPr>
            <w:tcW w:w="650" w:type="pct"/>
            <w:tcBorders>
              <w:top w:val="nil"/>
              <w:left w:val="single" w:sz="8" w:space="0" w:color="auto"/>
              <w:bottom w:val="single" w:sz="8" w:space="0" w:color="auto"/>
              <w:right w:val="single" w:sz="8" w:space="0" w:color="auto"/>
            </w:tcBorders>
            <w:shd w:val="clear" w:color="auto" w:fill="auto"/>
            <w:hideMark/>
          </w:tcPr>
          <w:p w14:paraId="09413564" w14:textId="77777777" w:rsidR="007773A4" w:rsidRPr="007773A4" w:rsidRDefault="007773A4" w:rsidP="007773A4">
            <w:pPr>
              <w:rPr>
                <w:rFonts w:ascii="Calibri" w:hAnsi="Calibri" w:cs="Calibri"/>
                <w:b/>
                <w:bCs/>
                <w:sz w:val="16"/>
                <w:szCs w:val="16"/>
              </w:rPr>
            </w:pPr>
            <w:bookmarkStart w:id="27" w:name="RANGE!B11"/>
            <w:r w:rsidRPr="007773A4">
              <w:rPr>
                <w:rFonts w:ascii="Calibri" w:hAnsi="Calibri" w:cs="Calibri"/>
                <w:b/>
                <w:bCs/>
                <w:sz w:val="16"/>
                <w:szCs w:val="16"/>
              </w:rPr>
              <w:t>3. Strengthen inter-governmental fiscal policy framework</w:t>
            </w:r>
            <w:r w:rsidRPr="007773A4">
              <w:rPr>
                <w:rFonts w:ascii="Calibri" w:hAnsi="Calibri" w:cs="Calibri"/>
                <w:sz w:val="16"/>
                <w:szCs w:val="16"/>
              </w:rPr>
              <w:t xml:space="preserve"> </w:t>
            </w:r>
            <w:bookmarkEnd w:id="27"/>
          </w:p>
        </w:tc>
        <w:tc>
          <w:tcPr>
            <w:tcW w:w="682" w:type="pct"/>
            <w:tcBorders>
              <w:top w:val="nil"/>
              <w:left w:val="nil"/>
              <w:bottom w:val="single" w:sz="8" w:space="0" w:color="auto"/>
              <w:right w:val="single" w:sz="8" w:space="0" w:color="auto"/>
            </w:tcBorders>
            <w:shd w:val="clear" w:color="auto" w:fill="auto"/>
            <w:hideMark/>
          </w:tcPr>
          <w:p w14:paraId="25A9F60D"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While Inter-Governmental Fiscal Transfer Policy Paper has been agreed, it still requires operationalization. Current approach to distribution of funds between FGS and FMS/BRA is inequitable.</w:t>
            </w:r>
          </w:p>
        </w:tc>
        <w:tc>
          <w:tcPr>
            <w:tcW w:w="748" w:type="pct"/>
            <w:tcBorders>
              <w:top w:val="nil"/>
              <w:left w:val="nil"/>
              <w:bottom w:val="single" w:sz="8" w:space="0" w:color="auto"/>
              <w:right w:val="single" w:sz="8" w:space="0" w:color="auto"/>
            </w:tcBorders>
            <w:shd w:val="clear" w:color="auto" w:fill="auto"/>
            <w:hideMark/>
          </w:tcPr>
          <w:p w14:paraId="04511775"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w:t>
            </w:r>
          </w:p>
        </w:tc>
        <w:tc>
          <w:tcPr>
            <w:tcW w:w="584" w:type="pct"/>
            <w:tcBorders>
              <w:top w:val="nil"/>
              <w:left w:val="nil"/>
              <w:bottom w:val="single" w:sz="8" w:space="0" w:color="auto"/>
              <w:right w:val="single" w:sz="8" w:space="0" w:color="auto"/>
            </w:tcBorders>
            <w:shd w:val="clear" w:color="auto" w:fill="auto"/>
            <w:hideMark/>
          </w:tcPr>
          <w:p w14:paraId="35FDA8F7" w14:textId="2D6ED1DA" w:rsidR="007773A4" w:rsidRPr="007773A4" w:rsidRDefault="007773A4" w:rsidP="007773A4">
            <w:pPr>
              <w:rPr>
                <w:rFonts w:ascii="Calibri" w:hAnsi="Calibri" w:cs="Calibri"/>
                <w:sz w:val="16"/>
                <w:szCs w:val="16"/>
              </w:rPr>
            </w:pPr>
          </w:p>
        </w:tc>
        <w:tc>
          <w:tcPr>
            <w:tcW w:w="584" w:type="pct"/>
            <w:tcBorders>
              <w:top w:val="nil"/>
              <w:left w:val="nil"/>
              <w:bottom w:val="single" w:sz="8" w:space="0" w:color="auto"/>
              <w:right w:val="single" w:sz="8" w:space="0" w:color="auto"/>
            </w:tcBorders>
            <w:shd w:val="clear" w:color="auto" w:fill="D9D9D9" w:themeFill="background1" w:themeFillShade="D9"/>
            <w:hideMark/>
          </w:tcPr>
          <w:p w14:paraId="5F47CDD1"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3.1. FGS’ FY 2022 budget provides for appropriations for FGS’ fiscal transfers to FMS/BRA as per an inter-governmentally agreed formula.</w:t>
            </w:r>
          </w:p>
        </w:tc>
        <w:tc>
          <w:tcPr>
            <w:tcW w:w="584" w:type="pct"/>
            <w:tcBorders>
              <w:top w:val="nil"/>
              <w:left w:val="nil"/>
              <w:bottom w:val="single" w:sz="8" w:space="0" w:color="auto"/>
              <w:right w:val="single" w:sz="8" w:space="0" w:color="auto"/>
            </w:tcBorders>
            <w:shd w:val="clear" w:color="auto" w:fill="D9D9D9" w:themeFill="background1" w:themeFillShade="D9"/>
            <w:hideMark/>
          </w:tcPr>
          <w:p w14:paraId="60AFACB5"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w:t>
            </w:r>
          </w:p>
        </w:tc>
        <w:tc>
          <w:tcPr>
            <w:tcW w:w="584" w:type="pct"/>
            <w:tcBorders>
              <w:top w:val="nil"/>
              <w:left w:val="nil"/>
              <w:bottom w:val="single" w:sz="8" w:space="0" w:color="auto"/>
              <w:right w:val="single" w:sz="8" w:space="0" w:color="auto"/>
            </w:tcBorders>
            <w:shd w:val="clear" w:color="auto" w:fill="D9D9D9" w:themeFill="background1" w:themeFillShade="D9"/>
            <w:hideMark/>
          </w:tcPr>
          <w:p w14:paraId="4E81772A"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3.2. FGS’ FY 2023 budget provides for appropriations for FGS’ fiscal transfers to FMS/BRA as per an inter-governmentally agreed formula.</w:t>
            </w:r>
          </w:p>
        </w:tc>
        <w:tc>
          <w:tcPr>
            <w:tcW w:w="584" w:type="pct"/>
            <w:tcBorders>
              <w:top w:val="nil"/>
              <w:left w:val="nil"/>
              <w:bottom w:val="single" w:sz="8" w:space="0" w:color="auto"/>
              <w:right w:val="single" w:sz="8" w:space="0" w:color="auto"/>
            </w:tcBorders>
            <w:shd w:val="clear" w:color="auto" w:fill="D9D9D9" w:themeFill="background1" w:themeFillShade="D9"/>
            <w:hideMark/>
          </w:tcPr>
          <w:p w14:paraId="57C5772C"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w:t>
            </w:r>
          </w:p>
        </w:tc>
      </w:tr>
      <w:tr w:rsidR="007773A4" w:rsidRPr="007773A4" w14:paraId="4E6E85FB" w14:textId="77777777" w:rsidTr="007773A4">
        <w:trPr>
          <w:trHeight w:val="36"/>
        </w:trPr>
        <w:tc>
          <w:tcPr>
            <w:tcW w:w="650" w:type="pct"/>
            <w:tcBorders>
              <w:top w:val="nil"/>
              <w:left w:val="single" w:sz="8" w:space="0" w:color="auto"/>
              <w:bottom w:val="single" w:sz="8" w:space="0" w:color="auto"/>
              <w:right w:val="single" w:sz="8" w:space="0" w:color="auto"/>
            </w:tcBorders>
            <w:shd w:val="clear" w:color="auto" w:fill="auto"/>
            <w:vAlign w:val="center"/>
            <w:hideMark/>
          </w:tcPr>
          <w:p w14:paraId="541DDBD3"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1.3</w:t>
            </w:r>
          </w:p>
        </w:tc>
        <w:tc>
          <w:tcPr>
            <w:tcW w:w="682" w:type="pct"/>
            <w:tcBorders>
              <w:top w:val="nil"/>
              <w:left w:val="nil"/>
              <w:bottom w:val="single" w:sz="8" w:space="0" w:color="auto"/>
              <w:right w:val="single" w:sz="8" w:space="0" w:color="auto"/>
            </w:tcBorders>
            <w:shd w:val="clear" w:color="auto" w:fill="auto"/>
            <w:vAlign w:val="center"/>
            <w:hideMark/>
          </w:tcPr>
          <w:p w14:paraId="1887228B"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c>
          <w:tcPr>
            <w:tcW w:w="748" w:type="pct"/>
            <w:tcBorders>
              <w:top w:val="nil"/>
              <w:left w:val="nil"/>
              <w:bottom w:val="single" w:sz="8" w:space="0" w:color="auto"/>
              <w:right w:val="single" w:sz="8" w:space="0" w:color="auto"/>
            </w:tcBorders>
            <w:shd w:val="clear" w:color="auto" w:fill="auto"/>
            <w:vAlign w:val="center"/>
            <w:hideMark/>
          </w:tcPr>
          <w:p w14:paraId="1344EFC3"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c>
          <w:tcPr>
            <w:tcW w:w="584" w:type="pct"/>
            <w:tcBorders>
              <w:top w:val="nil"/>
              <w:left w:val="nil"/>
              <w:bottom w:val="single" w:sz="8" w:space="0" w:color="auto"/>
              <w:right w:val="single" w:sz="8" w:space="0" w:color="auto"/>
            </w:tcBorders>
            <w:shd w:val="clear" w:color="auto" w:fill="auto"/>
            <w:vAlign w:val="center"/>
            <w:hideMark/>
          </w:tcPr>
          <w:p w14:paraId="56AEC755"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c>
          <w:tcPr>
            <w:tcW w:w="584" w:type="pct"/>
            <w:tcBorders>
              <w:top w:val="nil"/>
              <w:left w:val="nil"/>
              <w:bottom w:val="single" w:sz="8" w:space="0" w:color="auto"/>
              <w:right w:val="single" w:sz="8" w:space="0" w:color="auto"/>
            </w:tcBorders>
            <w:shd w:val="clear" w:color="auto" w:fill="D9D9D9" w:themeFill="background1" w:themeFillShade="D9"/>
            <w:vAlign w:val="center"/>
            <w:hideMark/>
          </w:tcPr>
          <w:p w14:paraId="0A21EA43"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1.0</w:t>
            </w:r>
          </w:p>
        </w:tc>
        <w:tc>
          <w:tcPr>
            <w:tcW w:w="584" w:type="pct"/>
            <w:tcBorders>
              <w:top w:val="nil"/>
              <w:left w:val="nil"/>
              <w:bottom w:val="single" w:sz="8" w:space="0" w:color="auto"/>
              <w:right w:val="single" w:sz="8" w:space="0" w:color="auto"/>
            </w:tcBorders>
            <w:shd w:val="clear" w:color="auto" w:fill="D9D9D9" w:themeFill="background1" w:themeFillShade="D9"/>
            <w:vAlign w:val="center"/>
            <w:hideMark/>
          </w:tcPr>
          <w:p w14:paraId="5224D2C6"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c>
          <w:tcPr>
            <w:tcW w:w="584" w:type="pct"/>
            <w:tcBorders>
              <w:top w:val="nil"/>
              <w:left w:val="nil"/>
              <w:bottom w:val="single" w:sz="8" w:space="0" w:color="auto"/>
              <w:right w:val="single" w:sz="8" w:space="0" w:color="auto"/>
            </w:tcBorders>
            <w:shd w:val="clear" w:color="auto" w:fill="D9D9D9" w:themeFill="background1" w:themeFillShade="D9"/>
            <w:vAlign w:val="center"/>
            <w:hideMark/>
          </w:tcPr>
          <w:p w14:paraId="69B6C5E0"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0.3</w:t>
            </w:r>
          </w:p>
        </w:tc>
        <w:tc>
          <w:tcPr>
            <w:tcW w:w="584" w:type="pct"/>
            <w:tcBorders>
              <w:top w:val="nil"/>
              <w:left w:val="nil"/>
              <w:bottom w:val="single" w:sz="8" w:space="0" w:color="auto"/>
              <w:right w:val="single" w:sz="8" w:space="0" w:color="auto"/>
            </w:tcBorders>
            <w:shd w:val="clear" w:color="auto" w:fill="D9D9D9" w:themeFill="background1" w:themeFillShade="D9"/>
            <w:vAlign w:val="center"/>
            <w:hideMark/>
          </w:tcPr>
          <w:p w14:paraId="23D21B50"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r>
      <w:tr w:rsidR="007773A4" w:rsidRPr="007773A4" w14:paraId="467B88E8" w14:textId="77777777" w:rsidTr="007773A4">
        <w:trPr>
          <w:trHeight w:val="1760"/>
        </w:trPr>
        <w:tc>
          <w:tcPr>
            <w:tcW w:w="650" w:type="pct"/>
            <w:tcBorders>
              <w:top w:val="nil"/>
              <w:left w:val="single" w:sz="8" w:space="0" w:color="auto"/>
              <w:bottom w:val="single" w:sz="8" w:space="0" w:color="auto"/>
              <w:right w:val="single" w:sz="8" w:space="0" w:color="auto"/>
            </w:tcBorders>
            <w:shd w:val="clear" w:color="auto" w:fill="auto"/>
            <w:hideMark/>
          </w:tcPr>
          <w:p w14:paraId="0116D7B0" w14:textId="77777777" w:rsidR="007773A4" w:rsidRPr="007773A4" w:rsidRDefault="007773A4" w:rsidP="007773A4">
            <w:pPr>
              <w:rPr>
                <w:rFonts w:ascii="Calibri" w:hAnsi="Calibri" w:cs="Calibri"/>
                <w:b/>
                <w:bCs/>
                <w:sz w:val="16"/>
                <w:szCs w:val="16"/>
              </w:rPr>
            </w:pPr>
            <w:bookmarkStart w:id="28" w:name="RANGE!B13"/>
            <w:r w:rsidRPr="007773A4">
              <w:rPr>
                <w:rFonts w:ascii="Calibri" w:hAnsi="Calibri" w:cs="Calibri"/>
                <w:b/>
                <w:bCs/>
                <w:sz w:val="16"/>
                <w:szCs w:val="16"/>
              </w:rPr>
              <w:lastRenderedPageBreak/>
              <w:t>4. Strengthen FGS transfers to FMS</w:t>
            </w:r>
            <w:bookmarkEnd w:id="28"/>
            <w:r w:rsidRPr="007773A4">
              <w:rPr>
                <w:rFonts w:ascii="Calibri" w:hAnsi="Calibri" w:cs="Calibri"/>
                <w:sz w:val="16"/>
                <w:szCs w:val="16"/>
              </w:rPr>
              <w:t xml:space="preserve"> </w:t>
            </w:r>
          </w:p>
        </w:tc>
        <w:tc>
          <w:tcPr>
            <w:tcW w:w="682" w:type="pct"/>
            <w:tcBorders>
              <w:top w:val="nil"/>
              <w:left w:val="nil"/>
              <w:bottom w:val="single" w:sz="8" w:space="0" w:color="auto"/>
              <w:right w:val="single" w:sz="8" w:space="0" w:color="auto"/>
            </w:tcBorders>
            <w:shd w:val="clear" w:color="auto" w:fill="auto"/>
            <w:hideMark/>
          </w:tcPr>
          <w:p w14:paraId="645D24D2"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Selected FMS have minimal sources of revenue, and therefore difficulty in sustaining their operations, while FGS collects tax and customs, partly from goods and services that are destined for delivery in FMS. FGS transfers to FMS have been made on an ad hoc basis.</w:t>
            </w:r>
          </w:p>
        </w:tc>
        <w:tc>
          <w:tcPr>
            <w:tcW w:w="748" w:type="pct"/>
            <w:tcBorders>
              <w:top w:val="nil"/>
              <w:left w:val="nil"/>
              <w:bottom w:val="single" w:sz="8" w:space="0" w:color="auto"/>
              <w:right w:val="single" w:sz="8" w:space="0" w:color="auto"/>
            </w:tcBorders>
            <w:shd w:val="clear" w:color="auto" w:fill="auto"/>
            <w:hideMark/>
          </w:tcPr>
          <w:p w14:paraId="645A7ABC"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w:t>
            </w:r>
          </w:p>
        </w:tc>
        <w:tc>
          <w:tcPr>
            <w:tcW w:w="584" w:type="pct"/>
            <w:tcBorders>
              <w:top w:val="nil"/>
              <w:left w:val="nil"/>
              <w:bottom w:val="single" w:sz="8" w:space="0" w:color="auto"/>
              <w:right w:val="single" w:sz="8" w:space="0" w:color="auto"/>
            </w:tcBorders>
            <w:shd w:val="clear" w:color="auto" w:fill="auto"/>
            <w:hideMark/>
          </w:tcPr>
          <w:p w14:paraId="7E23598E" w14:textId="0F75515E" w:rsidR="007773A4" w:rsidRPr="007773A4" w:rsidRDefault="007773A4" w:rsidP="007773A4">
            <w:pPr>
              <w:rPr>
                <w:rFonts w:ascii="Calibri" w:hAnsi="Calibri" w:cs="Calibri"/>
                <w:sz w:val="16"/>
                <w:szCs w:val="16"/>
              </w:rPr>
            </w:pPr>
          </w:p>
        </w:tc>
        <w:tc>
          <w:tcPr>
            <w:tcW w:w="584" w:type="pct"/>
            <w:tcBorders>
              <w:top w:val="nil"/>
              <w:left w:val="nil"/>
              <w:bottom w:val="single" w:sz="8" w:space="0" w:color="auto"/>
              <w:right w:val="single" w:sz="8" w:space="0" w:color="auto"/>
            </w:tcBorders>
            <w:shd w:val="clear" w:color="auto" w:fill="D9D9D9" w:themeFill="background1" w:themeFillShade="D9"/>
            <w:hideMark/>
          </w:tcPr>
          <w:p w14:paraId="2D2FA5EE"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w:t>
            </w:r>
          </w:p>
        </w:tc>
        <w:tc>
          <w:tcPr>
            <w:tcW w:w="584" w:type="pct"/>
            <w:tcBorders>
              <w:top w:val="nil"/>
              <w:left w:val="nil"/>
              <w:bottom w:val="single" w:sz="8" w:space="0" w:color="auto"/>
              <w:right w:val="single" w:sz="8" w:space="0" w:color="auto"/>
            </w:tcBorders>
            <w:shd w:val="clear" w:color="auto" w:fill="D9D9D9" w:themeFill="background1" w:themeFillShade="D9"/>
            <w:hideMark/>
          </w:tcPr>
          <w:p w14:paraId="17FD735B"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4.1. FGS’ fiscal transfers execution rate for th</w:t>
            </w:r>
            <w:r w:rsidRPr="007773A4">
              <w:rPr>
                <w:rFonts w:ascii="Calibri" w:hAnsi="Calibri" w:cs="Calibri"/>
                <w:sz w:val="16"/>
                <w:szCs w:val="16"/>
                <w:vertAlign w:val="superscript"/>
              </w:rPr>
              <w:t xml:space="preserve">e </w:t>
            </w:r>
            <w:r w:rsidRPr="007773A4">
              <w:rPr>
                <w:rFonts w:ascii="Calibri" w:hAnsi="Calibri" w:cs="Calibri"/>
                <w:sz w:val="16"/>
                <w:szCs w:val="16"/>
              </w:rPr>
              <w:t>1st half of FY 2022 to FMS/BRA is equal to, or greater than, the out turn rate for FGS’ domestic revenues.</w:t>
            </w:r>
          </w:p>
        </w:tc>
        <w:tc>
          <w:tcPr>
            <w:tcW w:w="584" w:type="pct"/>
            <w:tcBorders>
              <w:top w:val="nil"/>
              <w:left w:val="nil"/>
              <w:bottom w:val="single" w:sz="8" w:space="0" w:color="auto"/>
              <w:right w:val="single" w:sz="8" w:space="0" w:color="auto"/>
            </w:tcBorders>
            <w:shd w:val="clear" w:color="auto" w:fill="D9D9D9" w:themeFill="background1" w:themeFillShade="D9"/>
            <w:hideMark/>
          </w:tcPr>
          <w:p w14:paraId="713F2001"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w:t>
            </w:r>
          </w:p>
        </w:tc>
        <w:tc>
          <w:tcPr>
            <w:tcW w:w="584" w:type="pct"/>
            <w:tcBorders>
              <w:top w:val="nil"/>
              <w:left w:val="nil"/>
              <w:bottom w:val="single" w:sz="8" w:space="0" w:color="auto"/>
              <w:right w:val="single" w:sz="8" w:space="0" w:color="auto"/>
            </w:tcBorders>
            <w:shd w:val="clear" w:color="auto" w:fill="D9D9D9" w:themeFill="background1" w:themeFillShade="D9"/>
            <w:hideMark/>
          </w:tcPr>
          <w:p w14:paraId="1DBBBE2D"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4.2. FGS’ fiscal transfers execution rate for th</w:t>
            </w:r>
            <w:r w:rsidRPr="007773A4">
              <w:rPr>
                <w:rFonts w:ascii="Calibri" w:hAnsi="Calibri" w:cs="Calibri"/>
                <w:sz w:val="16"/>
                <w:szCs w:val="16"/>
                <w:vertAlign w:val="superscript"/>
              </w:rPr>
              <w:t xml:space="preserve">e </w:t>
            </w:r>
            <w:r w:rsidRPr="007773A4">
              <w:rPr>
                <w:rFonts w:ascii="Calibri" w:hAnsi="Calibri" w:cs="Calibri"/>
                <w:sz w:val="16"/>
                <w:szCs w:val="16"/>
              </w:rPr>
              <w:t>1st half of FY 2023 to FMS/BRA is equal to, or greater than, the out turn rate for FGS’ domestic revenues.</w:t>
            </w:r>
          </w:p>
        </w:tc>
      </w:tr>
      <w:tr w:rsidR="007773A4" w:rsidRPr="007773A4" w14:paraId="5D38DB80" w14:textId="77777777" w:rsidTr="007773A4">
        <w:trPr>
          <w:trHeight w:val="36"/>
        </w:trPr>
        <w:tc>
          <w:tcPr>
            <w:tcW w:w="650" w:type="pct"/>
            <w:tcBorders>
              <w:top w:val="nil"/>
              <w:left w:val="single" w:sz="8" w:space="0" w:color="auto"/>
              <w:bottom w:val="single" w:sz="8" w:space="0" w:color="auto"/>
              <w:right w:val="single" w:sz="8" w:space="0" w:color="auto"/>
            </w:tcBorders>
            <w:shd w:val="clear" w:color="auto" w:fill="auto"/>
            <w:vAlign w:val="center"/>
            <w:hideMark/>
          </w:tcPr>
          <w:p w14:paraId="0C400DD7"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1.3</w:t>
            </w:r>
          </w:p>
        </w:tc>
        <w:tc>
          <w:tcPr>
            <w:tcW w:w="682" w:type="pct"/>
            <w:tcBorders>
              <w:top w:val="nil"/>
              <w:left w:val="nil"/>
              <w:bottom w:val="single" w:sz="8" w:space="0" w:color="auto"/>
              <w:right w:val="single" w:sz="8" w:space="0" w:color="auto"/>
            </w:tcBorders>
            <w:shd w:val="clear" w:color="auto" w:fill="auto"/>
            <w:vAlign w:val="center"/>
            <w:hideMark/>
          </w:tcPr>
          <w:p w14:paraId="105FB79E"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c>
          <w:tcPr>
            <w:tcW w:w="748" w:type="pct"/>
            <w:tcBorders>
              <w:top w:val="nil"/>
              <w:left w:val="nil"/>
              <w:bottom w:val="single" w:sz="8" w:space="0" w:color="auto"/>
              <w:right w:val="single" w:sz="8" w:space="0" w:color="auto"/>
            </w:tcBorders>
            <w:shd w:val="clear" w:color="auto" w:fill="auto"/>
            <w:vAlign w:val="center"/>
            <w:hideMark/>
          </w:tcPr>
          <w:p w14:paraId="4313D8F4"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c>
          <w:tcPr>
            <w:tcW w:w="584" w:type="pct"/>
            <w:tcBorders>
              <w:top w:val="nil"/>
              <w:left w:val="nil"/>
              <w:bottom w:val="single" w:sz="8" w:space="0" w:color="auto"/>
              <w:right w:val="single" w:sz="8" w:space="0" w:color="auto"/>
            </w:tcBorders>
            <w:shd w:val="clear" w:color="auto" w:fill="auto"/>
            <w:vAlign w:val="center"/>
            <w:hideMark/>
          </w:tcPr>
          <w:p w14:paraId="6B76D717"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c>
          <w:tcPr>
            <w:tcW w:w="584" w:type="pct"/>
            <w:tcBorders>
              <w:top w:val="nil"/>
              <w:left w:val="nil"/>
              <w:bottom w:val="single" w:sz="8" w:space="0" w:color="auto"/>
              <w:right w:val="single" w:sz="8" w:space="0" w:color="auto"/>
            </w:tcBorders>
            <w:shd w:val="clear" w:color="auto" w:fill="D9D9D9" w:themeFill="background1" w:themeFillShade="D9"/>
            <w:vAlign w:val="center"/>
            <w:hideMark/>
          </w:tcPr>
          <w:p w14:paraId="49266E03"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c>
          <w:tcPr>
            <w:tcW w:w="584" w:type="pct"/>
            <w:tcBorders>
              <w:top w:val="nil"/>
              <w:left w:val="nil"/>
              <w:bottom w:val="single" w:sz="8" w:space="0" w:color="auto"/>
              <w:right w:val="single" w:sz="8" w:space="0" w:color="auto"/>
            </w:tcBorders>
            <w:shd w:val="clear" w:color="auto" w:fill="D9D9D9" w:themeFill="background1" w:themeFillShade="D9"/>
            <w:vAlign w:val="center"/>
            <w:hideMark/>
          </w:tcPr>
          <w:p w14:paraId="62574F37"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1.0</w:t>
            </w:r>
          </w:p>
        </w:tc>
        <w:tc>
          <w:tcPr>
            <w:tcW w:w="584" w:type="pct"/>
            <w:tcBorders>
              <w:top w:val="nil"/>
              <w:left w:val="nil"/>
              <w:bottom w:val="single" w:sz="8" w:space="0" w:color="auto"/>
              <w:right w:val="single" w:sz="8" w:space="0" w:color="auto"/>
            </w:tcBorders>
            <w:shd w:val="clear" w:color="auto" w:fill="D9D9D9" w:themeFill="background1" w:themeFillShade="D9"/>
            <w:vAlign w:val="center"/>
            <w:hideMark/>
          </w:tcPr>
          <w:p w14:paraId="4A86E0EC"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c>
          <w:tcPr>
            <w:tcW w:w="584" w:type="pct"/>
            <w:tcBorders>
              <w:top w:val="nil"/>
              <w:left w:val="nil"/>
              <w:bottom w:val="single" w:sz="8" w:space="0" w:color="auto"/>
              <w:right w:val="single" w:sz="8" w:space="0" w:color="auto"/>
            </w:tcBorders>
            <w:shd w:val="clear" w:color="auto" w:fill="D9D9D9" w:themeFill="background1" w:themeFillShade="D9"/>
            <w:vAlign w:val="center"/>
            <w:hideMark/>
          </w:tcPr>
          <w:p w14:paraId="336FA5D0"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0.3</w:t>
            </w:r>
          </w:p>
        </w:tc>
      </w:tr>
      <w:tr w:rsidR="007773A4" w:rsidRPr="007773A4" w14:paraId="0EAD0E4D" w14:textId="77777777" w:rsidTr="007773A4">
        <w:trPr>
          <w:trHeight w:val="640"/>
        </w:trPr>
        <w:tc>
          <w:tcPr>
            <w:tcW w:w="650" w:type="pct"/>
            <w:tcBorders>
              <w:top w:val="nil"/>
              <w:left w:val="single" w:sz="8" w:space="0" w:color="auto"/>
              <w:bottom w:val="single" w:sz="8" w:space="0" w:color="auto"/>
              <w:right w:val="single" w:sz="8" w:space="0" w:color="auto"/>
            </w:tcBorders>
            <w:shd w:val="clear" w:color="auto" w:fill="auto"/>
            <w:hideMark/>
          </w:tcPr>
          <w:p w14:paraId="6949AD84" w14:textId="77777777" w:rsidR="007773A4" w:rsidRPr="007773A4" w:rsidRDefault="007773A4" w:rsidP="007773A4">
            <w:pPr>
              <w:rPr>
                <w:rFonts w:ascii="Calibri" w:hAnsi="Calibri" w:cs="Calibri"/>
                <w:b/>
                <w:bCs/>
                <w:sz w:val="16"/>
                <w:szCs w:val="16"/>
              </w:rPr>
            </w:pPr>
            <w:bookmarkStart w:id="29" w:name="RANGE!B15"/>
            <w:r w:rsidRPr="007773A4">
              <w:rPr>
                <w:rFonts w:ascii="Calibri" w:hAnsi="Calibri" w:cs="Calibri"/>
                <w:b/>
                <w:bCs/>
                <w:sz w:val="16"/>
                <w:szCs w:val="16"/>
              </w:rPr>
              <w:t>5. Strengthen Public Administration</w:t>
            </w:r>
            <w:bookmarkEnd w:id="29"/>
          </w:p>
        </w:tc>
        <w:tc>
          <w:tcPr>
            <w:tcW w:w="682" w:type="pct"/>
            <w:tcBorders>
              <w:top w:val="nil"/>
              <w:left w:val="nil"/>
              <w:bottom w:val="single" w:sz="8" w:space="0" w:color="auto"/>
              <w:right w:val="single" w:sz="8" w:space="0" w:color="auto"/>
            </w:tcBorders>
            <w:shd w:val="clear" w:color="auto" w:fill="auto"/>
            <w:hideMark/>
          </w:tcPr>
          <w:p w14:paraId="4A928FFF"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Lack of an established system for civil servants’ pensions</w:t>
            </w:r>
          </w:p>
        </w:tc>
        <w:tc>
          <w:tcPr>
            <w:tcW w:w="748" w:type="pct"/>
            <w:tcBorders>
              <w:top w:val="nil"/>
              <w:left w:val="nil"/>
              <w:bottom w:val="single" w:sz="8" w:space="0" w:color="auto"/>
              <w:right w:val="single" w:sz="8" w:space="0" w:color="auto"/>
            </w:tcBorders>
            <w:shd w:val="clear" w:color="auto" w:fill="auto"/>
          </w:tcPr>
          <w:p w14:paraId="73AB0AD1" w14:textId="77777777" w:rsidR="007773A4" w:rsidRPr="007773A4" w:rsidRDefault="007773A4" w:rsidP="007773A4">
            <w:pPr>
              <w:rPr>
                <w:rFonts w:ascii="Calibri" w:hAnsi="Calibri" w:cs="Calibri"/>
                <w:sz w:val="16"/>
                <w:szCs w:val="16"/>
              </w:rPr>
            </w:pPr>
          </w:p>
        </w:tc>
        <w:tc>
          <w:tcPr>
            <w:tcW w:w="584" w:type="pct"/>
            <w:tcBorders>
              <w:top w:val="nil"/>
              <w:left w:val="nil"/>
              <w:bottom w:val="single" w:sz="8" w:space="0" w:color="auto"/>
              <w:right w:val="single" w:sz="8" w:space="0" w:color="auto"/>
            </w:tcBorders>
            <w:shd w:val="clear" w:color="auto" w:fill="auto"/>
          </w:tcPr>
          <w:p w14:paraId="03CAE452" w14:textId="77777777" w:rsidR="007773A4" w:rsidRPr="007773A4" w:rsidRDefault="007773A4" w:rsidP="007773A4">
            <w:pPr>
              <w:rPr>
                <w:rFonts w:ascii="Calibri" w:hAnsi="Calibri" w:cs="Calibri"/>
                <w:sz w:val="16"/>
                <w:szCs w:val="16"/>
              </w:rPr>
            </w:pPr>
          </w:p>
        </w:tc>
        <w:tc>
          <w:tcPr>
            <w:tcW w:w="584" w:type="pct"/>
            <w:tcBorders>
              <w:top w:val="nil"/>
              <w:left w:val="nil"/>
              <w:bottom w:val="single" w:sz="8" w:space="0" w:color="auto"/>
              <w:right w:val="single" w:sz="8" w:space="0" w:color="auto"/>
            </w:tcBorders>
            <w:shd w:val="clear" w:color="auto" w:fill="D9D9D9" w:themeFill="background1" w:themeFillShade="D9"/>
          </w:tcPr>
          <w:p w14:paraId="19A5E2F3"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5.1. FGS has: (i) enacted a pension law; (ii) adopted regulations on pensions for civil servants (including those guiding collection); and (iii) established a pension secretariat with the participation of all relevant MDAs.</w:t>
            </w:r>
          </w:p>
        </w:tc>
        <w:tc>
          <w:tcPr>
            <w:tcW w:w="584" w:type="pct"/>
            <w:tcBorders>
              <w:top w:val="nil"/>
              <w:left w:val="nil"/>
              <w:bottom w:val="single" w:sz="8" w:space="0" w:color="auto"/>
              <w:right w:val="single" w:sz="8" w:space="0" w:color="auto"/>
            </w:tcBorders>
            <w:shd w:val="clear" w:color="auto" w:fill="D9D9D9" w:themeFill="background1" w:themeFillShade="D9"/>
          </w:tcPr>
          <w:p w14:paraId="0C0050DC" w14:textId="77777777" w:rsidR="007773A4" w:rsidRPr="007773A4" w:rsidRDefault="007773A4" w:rsidP="007773A4">
            <w:pPr>
              <w:rPr>
                <w:rFonts w:ascii="Calibri" w:hAnsi="Calibri" w:cs="Calibri"/>
                <w:sz w:val="16"/>
                <w:szCs w:val="16"/>
              </w:rPr>
            </w:pPr>
          </w:p>
        </w:tc>
        <w:tc>
          <w:tcPr>
            <w:tcW w:w="584" w:type="pct"/>
            <w:tcBorders>
              <w:top w:val="nil"/>
              <w:left w:val="nil"/>
              <w:bottom w:val="single" w:sz="8" w:space="0" w:color="auto"/>
              <w:right w:val="single" w:sz="8" w:space="0" w:color="auto"/>
            </w:tcBorders>
            <w:shd w:val="clear" w:color="auto" w:fill="D9D9D9" w:themeFill="background1" w:themeFillShade="D9"/>
          </w:tcPr>
          <w:p w14:paraId="032AAD77" w14:textId="77777777" w:rsidR="007773A4" w:rsidRPr="007773A4" w:rsidRDefault="007773A4" w:rsidP="007773A4">
            <w:pPr>
              <w:rPr>
                <w:rFonts w:ascii="Calibri" w:hAnsi="Calibri" w:cs="Calibri"/>
                <w:sz w:val="16"/>
                <w:szCs w:val="16"/>
              </w:rPr>
            </w:pPr>
          </w:p>
        </w:tc>
        <w:tc>
          <w:tcPr>
            <w:tcW w:w="584" w:type="pct"/>
            <w:tcBorders>
              <w:top w:val="nil"/>
              <w:left w:val="nil"/>
              <w:bottom w:val="single" w:sz="8" w:space="0" w:color="auto"/>
              <w:right w:val="single" w:sz="8" w:space="0" w:color="auto"/>
            </w:tcBorders>
            <w:shd w:val="clear" w:color="auto" w:fill="D9D9D9" w:themeFill="background1" w:themeFillShade="D9"/>
          </w:tcPr>
          <w:p w14:paraId="174D61C9"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5.2. FGS has established, staffed and operationalized a pension unit within six (6) months from the commencement of pension collections.</w:t>
            </w:r>
          </w:p>
        </w:tc>
      </w:tr>
      <w:tr w:rsidR="007773A4" w:rsidRPr="007773A4" w14:paraId="24321A2B" w14:textId="77777777" w:rsidTr="007773A4">
        <w:trPr>
          <w:trHeight w:val="70"/>
        </w:trPr>
        <w:tc>
          <w:tcPr>
            <w:tcW w:w="650" w:type="pct"/>
            <w:tcBorders>
              <w:top w:val="nil"/>
              <w:left w:val="single" w:sz="8" w:space="0" w:color="auto"/>
              <w:bottom w:val="single" w:sz="8" w:space="0" w:color="auto"/>
              <w:right w:val="single" w:sz="8" w:space="0" w:color="auto"/>
            </w:tcBorders>
            <w:shd w:val="clear" w:color="auto" w:fill="auto"/>
            <w:vAlign w:val="center"/>
            <w:hideMark/>
          </w:tcPr>
          <w:p w14:paraId="200A65E2"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1.3</w:t>
            </w:r>
          </w:p>
        </w:tc>
        <w:tc>
          <w:tcPr>
            <w:tcW w:w="682" w:type="pct"/>
            <w:tcBorders>
              <w:top w:val="nil"/>
              <w:left w:val="nil"/>
              <w:bottom w:val="single" w:sz="8" w:space="0" w:color="auto"/>
              <w:right w:val="single" w:sz="8" w:space="0" w:color="auto"/>
            </w:tcBorders>
            <w:shd w:val="clear" w:color="auto" w:fill="auto"/>
            <w:vAlign w:val="center"/>
            <w:hideMark/>
          </w:tcPr>
          <w:p w14:paraId="49F354A2"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c>
          <w:tcPr>
            <w:tcW w:w="748" w:type="pct"/>
            <w:tcBorders>
              <w:top w:val="nil"/>
              <w:left w:val="nil"/>
              <w:bottom w:val="single" w:sz="8" w:space="0" w:color="auto"/>
              <w:right w:val="single" w:sz="8" w:space="0" w:color="auto"/>
            </w:tcBorders>
            <w:shd w:val="clear" w:color="auto" w:fill="auto"/>
            <w:vAlign w:val="center"/>
            <w:hideMark/>
          </w:tcPr>
          <w:p w14:paraId="1702BA46"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c>
          <w:tcPr>
            <w:tcW w:w="584" w:type="pct"/>
            <w:tcBorders>
              <w:top w:val="nil"/>
              <w:left w:val="nil"/>
              <w:bottom w:val="single" w:sz="8" w:space="0" w:color="auto"/>
              <w:right w:val="single" w:sz="8" w:space="0" w:color="auto"/>
            </w:tcBorders>
            <w:shd w:val="clear" w:color="auto" w:fill="auto"/>
            <w:vAlign w:val="center"/>
            <w:hideMark/>
          </w:tcPr>
          <w:p w14:paraId="5EB0C6BA"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c>
          <w:tcPr>
            <w:tcW w:w="584" w:type="pct"/>
            <w:tcBorders>
              <w:top w:val="nil"/>
              <w:left w:val="nil"/>
              <w:bottom w:val="single" w:sz="8" w:space="0" w:color="auto"/>
              <w:right w:val="single" w:sz="8" w:space="0" w:color="auto"/>
            </w:tcBorders>
            <w:shd w:val="clear" w:color="auto" w:fill="D9D9D9" w:themeFill="background1" w:themeFillShade="D9"/>
            <w:vAlign w:val="center"/>
          </w:tcPr>
          <w:p w14:paraId="3EC4A95C"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1.0</w:t>
            </w:r>
          </w:p>
        </w:tc>
        <w:tc>
          <w:tcPr>
            <w:tcW w:w="584" w:type="pct"/>
            <w:tcBorders>
              <w:top w:val="nil"/>
              <w:left w:val="nil"/>
              <w:bottom w:val="single" w:sz="8" w:space="0" w:color="auto"/>
              <w:right w:val="single" w:sz="8" w:space="0" w:color="auto"/>
            </w:tcBorders>
            <w:shd w:val="clear" w:color="auto" w:fill="D9D9D9" w:themeFill="background1" w:themeFillShade="D9"/>
            <w:vAlign w:val="center"/>
          </w:tcPr>
          <w:p w14:paraId="19A1F575" w14:textId="77777777" w:rsidR="007773A4" w:rsidRPr="007773A4" w:rsidRDefault="007773A4" w:rsidP="007773A4">
            <w:pPr>
              <w:jc w:val="center"/>
              <w:rPr>
                <w:rFonts w:ascii="Calibri" w:hAnsi="Calibri" w:cs="Calibri"/>
                <w:b/>
                <w:bCs/>
                <w:sz w:val="16"/>
                <w:szCs w:val="16"/>
              </w:rPr>
            </w:pPr>
          </w:p>
        </w:tc>
        <w:tc>
          <w:tcPr>
            <w:tcW w:w="584" w:type="pct"/>
            <w:tcBorders>
              <w:top w:val="nil"/>
              <w:left w:val="nil"/>
              <w:bottom w:val="single" w:sz="8" w:space="0" w:color="auto"/>
              <w:right w:val="single" w:sz="8" w:space="0" w:color="auto"/>
            </w:tcBorders>
            <w:shd w:val="clear" w:color="auto" w:fill="D9D9D9" w:themeFill="background1" w:themeFillShade="D9"/>
            <w:vAlign w:val="center"/>
            <w:hideMark/>
          </w:tcPr>
          <w:p w14:paraId="75524478" w14:textId="77777777" w:rsidR="007773A4" w:rsidRPr="007773A4" w:rsidRDefault="007773A4" w:rsidP="007773A4">
            <w:pPr>
              <w:jc w:val="center"/>
              <w:rPr>
                <w:rFonts w:ascii="Calibri" w:hAnsi="Calibri" w:cs="Calibri"/>
                <w:b/>
                <w:bCs/>
                <w:sz w:val="16"/>
                <w:szCs w:val="16"/>
              </w:rPr>
            </w:pPr>
          </w:p>
        </w:tc>
        <w:tc>
          <w:tcPr>
            <w:tcW w:w="584" w:type="pct"/>
            <w:tcBorders>
              <w:top w:val="nil"/>
              <w:left w:val="nil"/>
              <w:bottom w:val="single" w:sz="8" w:space="0" w:color="auto"/>
              <w:right w:val="single" w:sz="8" w:space="0" w:color="auto"/>
            </w:tcBorders>
            <w:shd w:val="clear" w:color="auto" w:fill="D9D9D9" w:themeFill="background1" w:themeFillShade="D9"/>
            <w:vAlign w:val="center"/>
            <w:hideMark/>
          </w:tcPr>
          <w:p w14:paraId="7019ADEC"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0.3</w:t>
            </w:r>
          </w:p>
        </w:tc>
      </w:tr>
      <w:tr w:rsidR="007773A4" w:rsidRPr="007773A4" w14:paraId="56CB8AC1" w14:textId="77777777" w:rsidTr="007773A4">
        <w:trPr>
          <w:trHeight w:val="115"/>
        </w:trPr>
        <w:tc>
          <w:tcPr>
            <w:tcW w:w="650" w:type="pct"/>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31229899"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c>
          <w:tcPr>
            <w:tcW w:w="682" w:type="pct"/>
            <w:tcBorders>
              <w:top w:val="nil"/>
              <w:left w:val="nil"/>
              <w:bottom w:val="single" w:sz="8" w:space="0" w:color="auto"/>
              <w:right w:val="single" w:sz="8" w:space="0" w:color="auto"/>
            </w:tcBorders>
            <w:shd w:val="clear" w:color="auto" w:fill="BFBFBF" w:themeFill="background1" w:themeFillShade="BF"/>
            <w:vAlign w:val="center"/>
            <w:hideMark/>
          </w:tcPr>
          <w:p w14:paraId="1744E92C"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w:t>
            </w:r>
          </w:p>
        </w:tc>
        <w:tc>
          <w:tcPr>
            <w:tcW w:w="748" w:type="pct"/>
            <w:tcBorders>
              <w:top w:val="nil"/>
              <w:left w:val="nil"/>
              <w:bottom w:val="single" w:sz="8" w:space="0" w:color="auto"/>
              <w:right w:val="single" w:sz="8" w:space="0" w:color="auto"/>
            </w:tcBorders>
            <w:shd w:val="clear" w:color="auto" w:fill="BFBFBF" w:themeFill="background1" w:themeFillShade="BF"/>
            <w:vAlign w:val="center"/>
            <w:hideMark/>
          </w:tcPr>
          <w:p w14:paraId="49B1EA51"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c>
          <w:tcPr>
            <w:tcW w:w="584" w:type="pct"/>
            <w:tcBorders>
              <w:top w:val="nil"/>
              <w:left w:val="nil"/>
              <w:bottom w:val="single" w:sz="8" w:space="0" w:color="auto"/>
              <w:right w:val="single" w:sz="8" w:space="0" w:color="auto"/>
            </w:tcBorders>
            <w:shd w:val="clear" w:color="auto" w:fill="BFBFBF" w:themeFill="background1" w:themeFillShade="BF"/>
            <w:vAlign w:val="center"/>
            <w:hideMark/>
          </w:tcPr>
          <w:p w14:paraId="4976FB25"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c>
          <w:tcPr>
            <w:tcW w:w="584" w:type="pct"/>
            <w:tcBorders>
              <w:top w:val="nil"/>
              <w:left w:val="nil"/>
              <w:bottom w:val="single" w:sz="8" w:space="0" w:color="auto"/>
              <w:right w:val="single" w:sz="8" w:space="0" w:color="auto"/>
            </w:tcBorders>
            <w:shd w:val="clear" w:color="auto" w:fill="BFBFBF" w:themeFill="background1" w:themeFillShade="BF"/>
            <w:vAlign w:val="center"/>
            <w:hideMark/>
          </w:tcPr>
          <w:p w14:paraId="748D8C7C"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3.0</w:t>
            </w:r>
          </w:p>
        </w:tc>
        <w:tc>
          <w:tcPr>
            <w:tcW w:w="584" w:type="pct"/>
            <w:tcBorders>
              <w:top w:val="nil"/>
              <w:left w:val="nil"/>
              <w:bottom w:val="single" w:sz="8" w:space="0" w:color="auto"/>
              <w:right w:val="single" w:sz="8" w:space="0" w:color="auto"/>
            </w:tcBorders>
            <w:shd w:val="clear" w:color="auto" w:fill="BFBFBF" w:themeFill="background1" w:themeFillShade="BF"/>
            <w:vAlign w:val="center"/>
            <w:hideMark/>
          </w:tcPr>
          <w:p w14:paraId="75536D46"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2.0</w:t>
            </w:r>
          </w:p>
        </w:tc>
        <w:tc>
          <w:tcPr>
            <w:tcW w:w="584" w:type="pct"/>
            <w:tcBorders>
              <w:top w:val="nil"/>
              <w:left w:val="nil"/>
              <w:bottom w:val="single" w:sz="8" w:space="0" w:color="auto"/>
              <w:right w:val="single" w:sz="8" w:space="0" w:color="auto"/>
            </w:tcBorders>
            <w:shd w:val="clear" w:color="auto" w:fill="BFBFBF" w:themeFill="background1" w:themeFillShade="BF"/>
            <w:vAlign w:val="center"/>
            <w:hideMark/>
          </w:tcPr>
          <w:p w14:paraId="1C941CEE"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0.6</w:t>
            </w:r>
          </w:p>
        </w:tc>
        <w:tc>
          <w:tcPr>
            <w:tcW w:w="584" w:type="pct"/>
            <w:tcBorders>
              <w:top w:val="nil"/>
              <w:left w:val="nil"/>
              <w:bottom w:val="single" w:sz="8" w:space="0" w:color="auto"/>
              <w:right w:val="single" w:sz="8" w:space="0" w:color="auto"/>
            </w:tcBorders>
            <w:shd w:val="clear" w:color="auto" w:fill="BFBFBF" w:themeFill="background1" w:themeFillShade="BF"/>
            <w:vAlign w:val="center"/>
            <w:hideMark/>
          </w:tcPr>
          <w:p w14:paraId="79268BBB"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0.9</w:t>
            </w:r>
          </w:p>
        </w:tc>
      </w:tr>
      <w:tr w:rsidR="007773A4" w:rsidRPr="007773A4" w14:paraId="30EF4A10" w14:textId="77777777" w:rsidTr="007773A4">
        <w:trPr>
          <w:trHeight w:val="79"/>
        </w:trPr>
        <w:tc>
          <w:tcPr>
            <w:tcW w:w="650" w:type="pct"/>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5996F7D6"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6.5</w:t>
            </w:r>
          </w:p>
        </w:tc>
        <w:tc>
          <w:tcPr>
            <w:tcW w:w="682" w:type="pct"/>
            <w:tcBorders>
              <w:top w:val="nil"/>
              <w:left w:val="nil"/>
              <w:bottom w:val="single" w:sz="8" w:space="0" w:color="auto"/>
              <w:right w:val="single" w:sz="8" w:space="0" w:color="auto"/>
            </w:tcBorders>
            <w:shd w:val="clear" w:color="auto" w:fill="BFBFBF" w:themeFill="background1" w:themeFillShade="BF"/>
            <w:vAlign w:val="center"/>
            <w:hideMark/>
          </w:tcPr>
          <w:p w14:paraId="0FAEB1E6"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w:t>
            </w:r>
          </w:p>
        </w:tc>
        <w:tc>
          <w:tcPr>
            <w:tcW w:w="1332" w:type="pct"/>
            <w:gridSpan w:val="2"/>
            <w:tcBorders>
              <w:top w:val="single" w:sz="8" w:space="0" w:color="auto"/>
              <w:left w:val="nil"/>
              <w:bottom w:val="single" w:sz="8" w:space="0" w:color="auto"/>
              <w:right w:val="single" w:sz="8" w:space="0" w:color="000000" w:themeColor="text1"/>
            </w:tcBorders>
            <w:shd w:val="clear" w:color="auto" w:fill="BFBFBF" w:themeFill="background1" w:themeFillShade="BF"/>
            <w:noWrap/>
            <w:vAlign w:val="center"/>
            <w:hideMark/>
          </w:tcPr>
          <w:p w14:paraId="3BEB8046"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 </w:t>
            </w:r>
          </w:p>
        </w:tc>
        <w:tc>
          <w:tcPr>
            <w:tcW w:w="1168" w:type="pct"/>
            <w:gridSpan w:val="2"/>
            <w:tcBorders>
              <w:top w:val="single" w:sz="8" w:space="0" w:color="auto"/>
              <w:left w:val="nil"/>
              <w:bottom w:val="single" w:sz="8" w:space="0" w:color="auto"/>
              <w:right w:val="single" w:sz="8" w:space="0" w:color="000000" w:themeColor="text1"/>
            </w:tcBorders>
            <w:shd w:val="clear" w:color="auto" w:fill="BFBFBF" w:themeFill="background1" w:themeFillShade="BF"/>
            <w:noWrap/>
            <w:vAlign w:val="center"/>
            <w:hideMark/>
          </w:tcPr>
          <w:p w14:paraId="54A4CE5A"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5.0</w:t>
            </w:r>
          </w:p>
        </w:tc>
        <w:tc>
          <w:tcPr>
            <w:tcW w:w="1168" w:type="pct"/>
            <w:gridSpan w:val="2"/>
            <w:tcBorders>
              <w:top w:val="single" w:sz="8" w:space="0" w:color="auto"/>
              <w:left w:val="nil"/>
              <w:bottom w:val="single" w:sz="8" w:space="0" w:color="auto"/>
              <w:right w:val="single" w:sz="8" w:space="0" w:color="000000" w:themeColor="text1"/>
            </w:tcBorders>
            <w:shd w:val="clear" w:color="auto" w:fill="BFBFBF" w:themeFill="background1" w:themeFillShade="BF"/>
            <w:noWrap/>
            <w:vAlign w:val="center"/>
            <w:hideMark/>
          </w:tcPr>
          <w:p w14:paraId="518D3321"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1.5</w:t>
            </w:r>
          </w:p>
        </w:tc>
      </w:tr>
    </w:tbl>
    <w:p w14:paraId="66F90FD1" w14:textId="77777777" w:rsidR="007773A4" w:rsidRPr="007773A4" w:rsidRDefault="007773A4" w:rsidP="007773A4">
      <w:pPr>
        <w:ind w:left="-810"/>
        <w:rPr>
          <w:noProof/>
        </w:rPr>
      </w:pPr>
    </w:p>
    <w:p w14:paraId="7BE0B41E" w14:textId="77777777" w:rsidR="007773A4" w:rsidRPr="007773A4" w:rsidRDefault="007773A4" w:rsidP="007773A4">
      <w:pPr>
        <w:ind w:left="-810"/>
        <w:rPr>
          <w:rFonts w:asciiTheme="minorHAnsi" w:hAnsiTheme="minorHAnsi" w:cstheme="minorHAnsi"/>
        </w:rPr>
      </w:pPr>
    </w:p>
    <w:p w14:paraId="766AD204" w14:textId="77777777" w:rsidR="007773A4" w:rsidRPr="007773A4" w:rsidRDefault="007773A4" w:rsidP="007773A4">
      <w:pPr>
        <w:keepNext/>
        <w:widowControl w:val="0"/>
        <w:autoSpaceDE w:val="0"/>
        <w:autoSpaceDN w:val="0"/>
        <w:adjustRightInd w:val="0"/>
        <w:spacing w:after="200"/>
        <w:rPr>
          <w:rFonts w:ascii="Calibri Light" w:hAnsi="Calibri Light" w:cs="Calibri Light"/>
          <w:b/>
          <w:i/>
          <w:iCs/>
          <w:sz w:val="18"/>
          <w:szCs w:val="18"/>
        </w:rPr>
        <w:sectPr w:rsidR="007773A4" w:rsidRPr="007773A4" w:rsidSect="007773A4">
          <w:footerReference w:type="first" r:id="rId21"/>
          <w:pgSz w:w="15840" w:h="12240" w:orient="landscape"/>
          <w:pgMar w:top="1440" w:right="1440" w:bottom="720" w:left="1440" w:header="720" w:footer="720" w:gutter="0"/>
          <w:cols w:space="720"/>
          <w:docGrid w:linePitch="360"/>
        </w:sectPr>
      </w:pPr>
      <w:bookmarkStart w:id="30" w:name="_Toc523343490"/>
      <w:bookmarkStart w:id="31" w:name="_Hlk519346764"/>
      <w:bookmarkStart w:id="32" w:name="_Hlk523310835"/>
    </w:p>
    <w:p w14:paraId="7B07CBAD" w14:textId="0532E5EB" w:rsidR="007773A4" w:rsidRPr="002824F4" w:rsidRDefault="007773A4" w:rsidP="002824F4">
      <w:pPr>
        <w:keepNext/>
        <w:widowControl w:val="0"/>
        <w:autoSpaceDE w:val="0"/>
        <w:autoSpaceDN w:val="0"/>
        <w:adjustRightInd w:val="0"/>
        <w:spacing w:after="200"/>
        <w:jc w:val="center"/>
        <w:rPr>
          <w:b/>
          <w:iCs/>
          <w:sz w:val="22"/>
          <w:szCs w:val="22"/>
        </w:rPr>
      </w:pPr>
      <w:bookmarkStart w:id="33" w:name="_Toc37773476"/>
      <w:bookmarkStart w:id="34" w:name="_Toc41605717"/>
      <w:r w:rsidRPr="002824F4">
        <w:rPr>
          <w:b/>
          <w:iCs/>
          <w:sz w:val="22"/>
          <w:szCs w:val="22"/>
        </w:rPr>
        <w:lastRenderedPageBreak/>
        <w:t xml:space="preserve">Table </w:t>
      </w:r>
      <w:r w:rsidR="002824F4" w:rsidRPr="002824F4">
        <w:rPr>
          <w:b/>
          <w:iCs/>
          <w:sz w:val="22"/>
          <w:szCs w:val="22"/>
        </w:rPr>
        <w:t>3:</w:t>
      </w:r>
      <w:r w:rsidRPr="002824F4">
        <w:rPr>
          <w:b/>
          <w:iCs/>
          <w:sz w:val="22"/>
          <w:szCs w:val="22"/>
        </w:rPr>
        <w:t xml:space="preserve"> RCRF III Verification Protocol </w:t>
      </w:r>
      <w:bookmarkEnd w:id="30"/>
      <w:r w:rsidRPr="002824F4">
        <w:rPr>
          <w:b/>
          <w:iCs/>
          <w:sz w:val="22"/>
          <w:szCs w:val="22"/>
        </w:rPr>
        <w:t>for PBCs (for FGS, Sub-Component 1.2)</w:t>
      </w:r>
      <w:bookmarkEnd w:id="33"/>
      <w:bookmarkEnd w:id="34"/>
    </w:p>
    <w:tbl>
      <w:tblPr>
        <w:tblW w:w="5421" w:type="pct"/>
        <w:tblInd w:w="-1090" w:type="dxa"/>
        <w:tblLook w:val="04A0" w:firstRow="1" w:lastRow="0" w:firstColumn="1" w:lastColumn="0" w:noHBand="0" w:noVBand="1"/>
      </w:tblPr>
      <w:tblGrid>
        <w:gridCol w:w="2968"/>
        <w:gridCol w:w="5219"/>
        <w:gridCol w:w="1260"/>
        <w:gridCol w:w="1799"/>
        <w:gridCol w:w="991"/>
        <w:gridCol w:w="1793"/>
      </w:tblGrid>
      <w:tr w:rsidR="007773A4" w:rsidRPr="007773A4" w14:paraId="6B6906EF" w14:textId="77777777" w:rsidTr="007773A4">
        <w:trPr>
          <w:trHeight w:val="220"/>
          <w:tblHeader/>
        </w:trPr>
        <w:tc>
          <w:tcPr>
            <w:tcW w:w="1058"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bookmarkEnd w:id="31"/>
          <w:bookmarkEnd w:id="32"/>
          <w:p w14:paraId="751D9F29"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Performance Based Condition (PBC)</w:t>
            </w:r>
          </w:p>
        </w:tc>
        <w:tc>
          <w:tcPr>
            <w:tcW w:w="1860" w:type="pct"/>
            <w:tcBorders>
              <w:top w:val="single" w:sz="8" w:space="0" w:color="auto"/>
              <w:left w:val="nil"/>
              <w:bottom w:val="single" w:sz="8" w:space="0" w:color="auto"/>
              <w:right w:val="single" w:sz="8" w:space="0" w:color="auto"/>
            </w:tcBorders>
            <w:shd w:val="clear" w:color="auto" w:fill="auto"/>
            <w:vAlign w:val="center"/>
            <w:hideMark/>
          </w:tcPr>
          <w:p w14:paraId="0C6FD6B8"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Definition /</w:t>
            </w:r>
          </w:p>
        </w:tc>
        <w:tc>
          <w:tcPr>
            <w:tcW w:w="449" w:type="pct"/>
            <w:tcBorders>
              <w:top w:val="single" w:sz="8" w:space="0" w:color="auto"/>
              <w:left w:val="nil"/>
              <w:bottom w:val="single" w:sz="8" w:space="0" w:color="auto"/>
              <w:right w:val="single" w:sz="8" w:space="0" w:color="auto"/>
            </w:tcBorders>
            <w:shd w:val="clear" w:color="auto" w:fill="auto"/>
            <w:vAlign w:val="center"/>
            <w:hideMark/>
          </w:tcPr>
          <w:p w14:paraId="398CF6D5"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Scalability of Disbursements</w:t>
            </w:r>
          </w:p>
        </w:tc>
        <w:tc>
          <w:tcPr>
            <w:tcW w:w="1632" w:type="pct"/>
            <w:gridSpan w:val="3"/>
            <w:tcBorders>
              <w:top w:val="single" w:sz="8" w:space="0" w:color="auto"/>
              <w:left w:val="nil"/>
              <w:bottom w:val="single" w:sz="8" w:space="0" w:color="auto"/>
              <w:right w:val="single" w:sz="8" w:space="0" w:color="auto"/>
            </w:tcBorders>
            <w:shd w:val="clear" w:color="auto" w:fill="auto"/>
            <w:vAlign w:val="center"/>
            <w:hideMark/>
          </w:tcPr>
          <w:p w14:paraId="6FE626BD"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Protocol to evaluate achievement of the PBC and data/result verification</w:t>
            </w:r>
          </w:p>
        </w:tc>
      </w:tr>
      <w:tr w:rsidR="007773A4" w:rsidRPr="007773A4" w14:paraId="2CC5C818" w14:textId="77777777" w:rsidTr="007773A4">
        <w:trPr>
          <w:trHeight w:val="220"/>
          <w:tblHeader/>
        </w:trPr>
        <w:tc>
          <w:tcPr>
            <w:tcW w:w="1058" w:type="pct"/>
            <w:vMerge/>
            <w:tcBorders>
              <w:top w:val="single" w:sz="8" w:space="0" w:color="auto"/>
              <w:left w:val="single" w:sz="8" w:space="0" w:color="auto"/>
              <w:bottom w:val="single" w:sz="8" w:space="0" w:color="auto"/>
              <w:right w:val="single" w:sz="8" w:space="0" w:color="auto"/>
            </w:tcBorders>
            <w:vAlign w:val="center"/>
            <w:hideMark/>
          </w:tcPr>
          <w:p w14:paraId="373BFCC8" w14:textId="77777777" w:rsidR="007773A4" w:rsidRPr="007773A4" w:rsidRDefault="007773A4" w:rsidP="007773A4">
            <w:pPr>
              <w:rPr>
                <w:rFonts w:ascii="Calibri" w:hAnsi="Calibri" w:cs="Calibri"/>
                <w:b/>
                <w:bCs/>
                <w:sz w:val="16"/>
                <w:szCs w:val="16"/>
              </w:rPr>
            </w:pPr>
          </w:p>
        </w:tc>
        <w:tc>
          <w:tcPr>
            <w:tcW w:w="186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35D452C"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Description of achievement</w:t>
            </w:r>
          </w:p>
        </w:tc>
        <w:tc>
          <w:tcPr>
            <w:tcW w:w="449" w:type="pct"/>
            <w:tcBorders>
              <w:top w:val="single" w:sz="8" w:space="0" w:color="auto"/>
              <w:left w:val="nil"/>
              <w:bottom w:val="single" w:sz="8" w:space="0" w:color="auto"/>
              <w:right w:val="single" w:sz="8" w:space="0" w:color="auto"/>
            </w:tcBorders>
            <w:shd w:val="clear" w:color="auto" w:fill="auto"/>
            <w:vAlign w:val="center"/>
            <w:hideMark/>
          </w:tcPr>
          <w:p w14:paraId="7C336B84"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(Yes/No)</w:t>
            </w:r>
          </w:p>
        </w:tc>
        <w:tc>
          <w:tcPr>
            <w:tcW w:w="641" w:type="pct"/>
            <w:tcBorders>
              <w:top w:val="single" w:sz="8" w:space="0" w:color="auto"/>
              <w:left w:val="nil"/>
              <w:bottom w:val="single" w:sz="8" w:space="0" w:color="auto"/>
              <w:right w:val="single" w:sz="8" w:space="0" w:color="auto"/>
            </w:tcBorders>
            <w:shd w:val="clear" w:color="auto" w:fill="auto"/>
            <w:vAlign w:val="center"/>
            <w:hideMark/>
          </w:tcPr>
          <w:p w14:paraId="5BB0B28B"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Data source/agency</w:t>
            </w:r>
          </w:p>
        </w:tc>
        <w:tc>
          <w:tcPr>
            <w:tcW w:w="353" w:type="pct"/>
            <w:tcBorders>
              <w:top w:val="single" w:sz="8" w:space="0" w:color="auto"/>
              <w:left w:val="nil"/>
              <w:bottom w:val="single" w:sz="8" w:space="0" w:color="auto"/>
              <w:right w:val="single" w:sz="8" w:space="0" w:color="auto"/>
            </w:tcBorders>
            <w:shd w:val="clear" w:color="auto" w:fill="auto"/>
            <w:vAlign w:val="center"/>
            <w:hideMark/>
          </w:tcPr>
          <w:p w14:paraId="24BE679F" w14:textId="77777777" w:rsidR="007773A4" w:rsidRPr="007773A4" w:rsidRDefault="007773A4" w:rsidP="007773A4">
            <w:pPr>
              <w:jc w:val="center"/>
              <w:rPr>
                <w:rFonts w:ascii="Calibri" w:hAnsi="Calibri" w:cs="Calibri"/>
                <w:b/>
                <w:bCs/>
                <w:sz w:val="16"/>
                <w:szCs w:val="16"/>
              </w:rPr>
            </w:pPr>
            <w:bookmarkStart w:id="35" w:name="RANGE!F3"/>
            <w:r w:rsidRPr="007773A4">
              <w:rPr>
                <w:rFonts w:ascii="Calibri" w:hAnsi="Calibri" w:cs="Calibri"/>
                <w:b/>
                <w:bCs/>
                <w:sz w:val="16"/>
                <w:szCs w:val="16"/>
              </w:rPr>
              <w:t xml:space="preserve">Verification </w:t>
            </w:r>
            <w:bookmarkEnd w:id="35"/>
          </w:p>
        </w:tc>
        <w:tc>
          <w:tcPr>
            <w:tcW w:w="638" w:type="pct"/>
            <w:tcBorders>
              <w:top w:val="single" w:sz="8" w:space="0" w:color="auto"/>
              <w:left w:val="nil"/>
              <w:bottom w:val="single" w:sz="8" w:space="0" w:color="auto"/>
              <w:right w:val="single" w:sz="8" w:space="0" w:color="auto"/>
            </w:tcBorders>
            <w:shd w:val="clear" w:color="auto" w:fill="auto"/>
            <w:vAlign w:val="center"/>
            <w:hideMark/>
          </w:tcPr>
          <w:p w14:paraId="379A1288"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Procedure</w:t>
            </w:r>
          </w:p>
        </w:tc>
      </w:tr>
      <w:tr w:rsidR="007773A4" w:rsidRPr="007773A4" w14:paraId="4330A62F" w14:textId="77777777" w:rsidTr="007773A4">
        <w:trPr>
          <w:trHeight w:val="220"/>
        </w:trPr>
        <w:tc>
          <w:tcPr>
            <w:tcW w:w="5000" w:type="pct"/>
            <w:gridSpan w:val="6"/>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hideMark/>
          </w:tcPr>
          <w:p w14:paraId="3A9A0EA5" w14:textId="77777777" w:rsidR="007773A4" w:rsidRPr="007773A4" w:rsidRDefault="007773A4" w:rsidP="007773A4">
            <w:pPr>
              <w:rPr>
                <w:rFonts w:ascii="Calibri" w:hAnsi="Calibri" w:cs="Calibri"/>
                <w:b/>
                <w:bCs/>
                <w:sz w:val="16"/>
                <w:szCs w:val="16"/>
              </w:rPr>
            </w:pPr>
            <w:r w:rsidRPr="007773A4">
              <w:rPr>
                <w:rFonts w:ascii="Calibri" w:hAnsi="Calibri" w:cs="Calibri"/>
                <w:b/>
                <w:bCs/>
                <w:sz w:val="16"/>
                <w:szCs w:val="16"/>
              </w:rPr>
              <w:t>1. Strengthen customs administration as per the customs reform action plan</w:t>
            </w:r>
          </w:p>
        </w:tc>
      </w:tr>
      <w:tr w:rsidR="007773A4" w:rsidRPr="007773A4" w14:paraId="5FCDD47F" w14:textId="77777777" w:rsidTr="007773A4">
        <w:trPr>
          <w:trHeight w:val="640"/>
        </w:trPr>
        <w:tc>
          <w:tcPr>
            <w:tcW w:w="1058" w:type="pct"/>
            <w:tcBorders>
              <w:top w:val="nil"/>
              <w:left w:val="single" w:sz="8" w:space="0" w:color="auto"/>
              <w:bottom w:val="single" w:sz="8" w:space="0" w:color="auto"/>
              <w:right w:val="single" w:sz="8" w:space="0" w:color="auto"/>
            </w:tcBorders>
            <w:shd w:val="clear" w:color="auto" w:fill="D9D9D9" w:themeFill="background1" w:themeFillShade="D9"/>
            <w:hideMark/>
          </w:tcPr>
          <w:p w14:paraId="3C643589"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1.1. MoF has developed and operationalized the new IT system, as well as its manuals of procedures</w:t>
            </w:r>
          </w:p>
        </w:tc>
        <w:tc>
          <w:tcPr>
            <w:tcW w:w="1860" w:type="pct"/>
            <w:tcBorders>
              <w:top w:val="nil"/>
              <w:left w:val="nil"/>
              <w:bottom w:val="single" w:sz="8" w:space="0" w:color="auto"/>
              <w:right w:val="single" w:sz="8" w:space="0" w:color="auto"/>
            </w:tcBorders>
            <w:shd w:val="clear" w:color="auto" w:fill="auto"/>
            <w:vAlign w:val="center"/>
            <w:hideMark/>
          </w:tcPr>
          <w:p w14:paraId="6B66A827"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IT system to be deemed “operational” when:</w:t>
            </w:r>
          </w:p>
          <w:p w14:paraId="5C4DC2C6"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At least, clearance/manifest/risk management/tariff modules are developed, have been tested and are functional for customs officers and users, and;</w:t>
            </w:r>
          </w:p>
          <w:p w14:paraId="2E360145"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Trainings of customs officers and private operators have been conducted.</w:t>
            </w:r>
          </w:p>
          <w:p w14:paraId="68DB77A6" w14:textId="77777777" w:rsidR="007773A4" w:rsidRPr="007773A4" w:rsidRDefault="007773A4" w:rsidP="007773A4">
            <w:pPr>
              <w:rPr>
                <w:rFonts w:ascii="Calibri" w:hAnsi="Calibri" w:cs="Calibri"/>
                <w:sz w:val="16"/>
                <w:szCs w:val="16"/>
              </w:rPr>
            </w:pPr>
          </w:p>
          <w:p w14:paraId="468A155D"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Manuals of procedures to contain:</w:t>
            </w:r>
          </w:p>
          <w:p w14:paraId="3A626681"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Customs procedures for import/export processes with the required documentation at each step.</w:t>
            </w:r>
          </w:p>
          <w:p w14:paraId="6C0334E8" w14:textId="77777777" w:rsidR="007773A4" w:rsidRPr="007773A4" w:rsidRDefault="007773A4" w:rsidP="007773A4">
            <w:pPr>
              <w:rPr>
                <w:rFonts w:ascii="Calibri" w:hAnsi="Calibri" w:cs="Calibri"/>
                <w:sz w:val="16"/>
                <w:szCs w:val="16"/>
              </w:rPr>
            </w:pPr>
          </w:p>
          <w:p w14:paraId="5211A483"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Reports generated from new IT system and SFMIS to demonstrate functionality; manuals of procedures for system; assessment of design and use of system undertaken by VA.</w:t>
            </w:r>
          </w:p>
        </w:tc>
        <w:tc>
          <w:tcPr>
            <w:tcW w:w="449" w:type="pct"/>
            <w:tcBorders>
              <w:top w:val="nil"/>
              <w:left w:val="nil"/>
              <w:bottom w:val="single" w:sz="8" w:space="0" w:color="auto"/>
              <w:right w:val="single" w:sz="8" w:space="0" w:color="auto"/>
            </w:tcBorders>
            <w:shd w:val="clear" w:color="auto" w:fill="auto"/>
            <w:vAlign w:val="center"/>
            <w:hideMark/>
          </w:tcPr>
          <w:p w14:paraId="09E115BA"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No</w:t>
            </w:r>
          </w:p>
        </w:tc>
        <w:tc>
          <w:tcPr>
            <w:tcW w:w="641" w:type="pct"/>
            <w:tcBorders>
              <w:top w:val="nil"/>
              <w:left w:val="nil"/>
              <w:bottom w:val="single" w:sz="8" w:space="0" w:color="auto"/>
              <w:right w:val="single" w:sz="8" w:space="0" w:color="auto"/>
            </w:tcBorders>
            <w:shd w:val="clear" w:color="auto" w:fill="auto"/>
            <w:vAlign w:val="center"/>
            <w:hideMark/>
          </w:tcPr>
          <w:p w14:paraId="1B0B35C6"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FGS (Mogadishu), PSS (Bosaso) and JSS (Kismayo) MoF Revenue Departments</w:t>
            </w:r>
          </w:p>
        </w:tc>
        <w:tc>
          <w:tcPr>
            <w:tcW w:w="353" w:type="pct"/>
            <w:tcBorders>
              <w:top w:val="nil"/>
              <w:left w:val="nil"/>
              <w:bottom w:val="single" w:sz="8" w:space="0" w:color="auto"/>
              <w:right w:val="single" w:sz="8" w:space="0" w:color="auto"/>
            </w:tcBorders>
            <w:shd w:val="clear" w:color="auto" w:fill="auto"/>
            <w:vAlign w:val="center"/>
            <w:hideMark/>
          </w:tcPr>
          <w:p w14:paraId="181A9F0F"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OAuG</w:t>
            </w:r>
          </w:p>
        </w:tc>
        <w:tc>
          <w:tcPr>
            <w:tcW w:w="638" w:type="pct"/>
            <w:tcBorders>
              <w:top w:val="nil"/>
              <w:left w:val="nil"/>
              <w:bottom w:val="single" w:sz="8" w:space="0" w:color="auto"/>
              <w:right w:val="single" w:sz="8" w:space="0" w:color="auto"/>
            </w:tcBorders>
            <w:shd w:val="clear" w:color="auto" w:fill="auto"/>
            <w:vAlign w:val="center"/>
            <w:hideMark/>
          </w:tcPr>
          <w:p w14:paraId="5054C9C8"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assess design and use of system.</w:t>
            </w:r>
          </w:p>
        </w:tc>
      </w:tr>
      <w:tr w:rsidR="007773A4" w:rsidRPr="007773A4" w14:paraId="47CDA6D0" w14:textId="77777777" w:rsidTr="007773A4">
        <w:trPr>
          <w:trHeight w:val="430"/>
        </w:trPr>
        <w:tc>
          <w:tcPr>
            <w:tcW w:w="1058" w:type="pct"/>
            <w:tcBorders>
              <w:top w:val="nil"/>
              <w:left w:val="single" w:sz="8" w:space="0" w:color="auto"/>
              <w:bottom w:val="single" w:sz="8" w:space="0" w:color="auto"/>
              <w:right w:val="single" w:sz="8" w:space="0" w:color="auto"/>
            </w:tcBorders>
            <w:shd w:val="clear" w:color="auto" w:fill="D9D9D9" w:themeFill="background1" w:themeFillShade="D9"/>
            <w:hideMark/>
          </w:tcPr>
          <w:p w14:paraId="765DF9FB"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1.2. MoF has completed a simplified functional review of FGS customs to better allocate HR in customs.</w:t>
            </w:r>
          </w:p>
        </w:tc>
        <w:tc>
          <w:tcPr>
            <w:tcW w:w="1860" w:type="pct"/>
            <w:tcBorders>
              <w:top w:val="nil"/>
              <w:left w:val="nil"/>
              <w:bottom w:val="single" w:sz="8" w:space="0" w:color="auto"/>
              <w:right w:val="single" w:sz="8" w:space="0" w:color="auto"/>
            </w:tcBorders>
            <w:shd w:val="clear" w:color="auto" w:fill="auto"/>
            <w:vAlign w:val="center"/>
            <w:hideMark/>
          </w:tcPr>
          <w:p w14:paraId="0E4BF6F7"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Simplified functional review to include:</w:t>
            </w:r>
          </w:p>
          <w:p w14:paraId="134E210C"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Analysis of staff numbers/competencies and assignments/job descriptions,</w:t>
            </w:r>
          </w:p>
          <w:p w14:paraId="37568F7E"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xml:space="preserve">- Recommendations on a revised organogram taking into account organizational structure of a customs department in a low capacity environment, </w:t>
            </w:r>
          </w:p>
          <w:p w14:paraId="0ECBAF37" w14:textId="77777777" w:rsidR="007773A4" w:rsidRPr="007773A4" w:rsidRDefault="007773A4" w:rsidP="007773A4">
            <w:pPr>
              <w:rPr>
                <w:rFonts w:ascii="Calibri" w:hAnsi="Calibri" w:cs="Calibri"/>
                <w:sz w:val="16"/>
                <w:szCs w:val="16"/>
              </w:rPr>
            </w:pPr>
          </w:p>
          <w:p w14:paraId="370D8DAC"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Functional review undertaken and assessed by VA.</w:t>
            </w:r>
          </w:p>
        </w:tc>
        <w:tc>
          <w:tcPr>
            <w:tcW w:w="449" w:type="pct"/>
            <w:tcBorders>
              <w:top w:val="nil"/>
              <w:left w:val="nil"/>
              <w:bottom w:val="single" w:sz="8" w:space="0" w:color="auto"/>
              <w:right w:val="single" w:sz="8" w:space="0" w:color="auto"/>
            </w:tcBorders>
            <w:shd w:val="clear" w:color="auto" w:fill="auto"/>
            <w:vAlign w:val="center"/>
            <w:hideMark/>
          </w:tcPr>
          <w:p w14:paraId="1E00DE45"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No</w:t>
            </w:r>
          </w:p>
        </w:tc>
        <w:tc>
          <w:tcPr>
            <w:tcW w:w="641" w:type="pct"/>
            <w:tcBorders>
              <w:top w:val="nil"/>
              <w:left w:val="nil"/>
              <w:bottom w:val="single" w:sz="8" w:space="0" w:color="auto"/>
              <w:right w:val="single" w:sz="8" w:space="0" w:color="auto"/>
            </w:tcBorders>
            <w:shd w:val="clear" w:color="auto" w:fill="auto"/>
            <w:vAlign w:val="center"/>
            <w:hideMark/>
          </w:tcPr>
          <w:p w14:paraId="225BCE4A"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MoF Revenue Department</w:t>
            </w:r>
          </w:p>
        </w:tc>
        <w:tc>
          <w:tcPr>
            <w:tcW w:w="353" w:type="pct"/>
            <w:tcBorders>
              <w:top w:val="nil"/>
              <w:left w:val="nil"/>
              <w:bottom w:val="single" w:sz="8" w:space="0" w:color="auto"/>
              <w:right w:val="single" w:sz="8" w:space="0" w:color="auto"/>
            </w:tcBorders>
            <w:shd w:val="clear" w:color="auto" w:fill="auto"/>
            <w:vAlign w:val="center"/>
            <w:hideMark/>
          </w:tcPr>
          <w:p w14:paraId="3705C2D4"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OAuG</w:t>
            </w:r>
          </w:p>
        </w:tc>
        <w:tc>
          <w:tcPr>
            <w:tcW w:w="638" w:type="pct"/>
            <w:tcBorders>
              <w:top w:val="nil"/>
              <w:left w:val="nil"/>
              <w:bottom w:val="single" w:sz="8" w:space="0" w:color="auto"/>
              <w:right w:val="single" w:sz="8" w:space="0" w:color="auto"/>
            </w:tcBorders>
            <w:shd w:val="clear" w:color="auto" w:fill="auto"/>
            <w:vAlign w:val="center"/>
            <w:hideMark/>
          </w:tcPr>
          <w:p w14:paraId="730FFF9A"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obtain documentation.</w:t>
            </w:r>
          </w:p>
        </w:tc>
      </w:tr>
      <w:tr w:rsidR="007773A4" w:rsidRPr="007773A4" w14:paraId="11F71B6B" w14:textId="77777777" w:rsidTr="007773A4">
        <w:trPr>
          <w:trHeight w:val="220"/>
        </w:trPr>
        <w:tc>
          <w:tcPr>
            <w:tcW w:w="5000" w:type="pct"/>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37855ABF" w14:textId="77777777" w:rsidR="007773A4" w:rsidRPr="007773A4" w:rsidRDefault="007773A4" w:rsidP="007773A4">
            <w:pPr>
              <w:rPr>
                <w:rFonts w:ascii="Calibri" w:hAnsi="Calibri" w:cs="Calibri"/>
                <w:b/>
                <w:bCs/>
                <w:sz w:val="16"/>
                <w:szCs w:val="16"/>
              </w:rPr>
            </w:pPr>
            <w:r w:rsidRPr="007773A4">
              <w:rPr>
                <w:rFonts w:ascii="Calibri" w:hAnsi="Calibri" w:cs="Calibri"/>
                <w:b/>
                <w:bCs/>
                <w:sz w:val="16"/>
                <w:szCs w:val="16"/>
              </w:rPr>
              <w:t xml:space="preserve">2. Strengthen payment process for operational expenditures </w:t>
            </w:r>
          </w:p>
        </w:tc>
      </w:tr>
      <w:tr w:rsidR="007773A4" w:rsidRPr="007773A4" w14:paraId="1B66D786" w14:textId="77777777" w:rsidTr="007773A4">
        <w:trPr>
          <w:trHeight w:val="466"/>
        </w:trPr>
        <w:tc>
          <w:tcPr>
            <w:tcW w:w="1058" w:type="pct"/>
            <w:tcBorders>
              <w:top w:val="nil"/>
              <w:left w:val="single" w:sz="8" w:space="0" w:color="auto"/>
              <w:bottom w:val="single" w:sz="8" w:space="0" w:color="auto"/>
              <w:right w:val="single" w:sz="8" w:space="0" w:color="auto"/>
            </w:tcBorders>
            <w:shd w:val="clear" w:color="auto" w:fill="D9D9D9" w:themeFill="background1" w:themeFillShade="D9"/>
            <w:hideMark/>
          </w:tcPr>
          <w:p w14:paraId="4FE39D07"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2.1. MoF has: (i) completed a business process review for FGS’ payment; and (ii) prepared/issued a business process review report including the processing of fiscal transfers and education and health sector payments.</w:t>
            </w:r>
          </w:p>
        </w:tc>
        <w:tc>
          <w:tcPr>
            <w:tcW w:w="1860" w:type="pct"/>
            <w:tcBorders>
              <w:top w:val="nil"/>
              <w:left w:val="nil"/>
              <w:bottom w:val="single" w:sz="8" w:space="0" w:color="auto"/>
              <w:right w:val="single" w:sz="8" w:space="0" w:color="auto"/>
            </w:tcBorders>
            <w:shd w:val="clear" w:color="auto" w:fill="auto"/>
            <w:vAlign w:val="center"/>
            <w:hideMark/>
          </w:tcPr>
          <w:p w14:paraId="6A0C087B"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Business process review report to include:</w:t>
            </w:r>
          </w:p>
          <w:p w14:paraId="6AAE48F2"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Definition of all the needs to be met by the work flows;</w:t>
            </w:r>
          </w:p>
          <w:p w14:paraId="3B316C31"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Identification of each workflow identified to meet the needs;</w:t>
            </w:r>
          </w:p>
          <w:p w14:paraId="72106C70"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Definition of how activities connect and the assignment of the roles and responsibilities for each (swimlane flow charts);</w:t>
            </w:r>
          </w:p>
          <w:p w14:paraId="7B1D0051"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Instructions for each activity including how the technology/SFMIS supports the activities;</w:t>
            </w:r>
          </w:p>
          <w:p w14:paraId="22A2188A"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Identification of gaps and improvement possibilities, and;</w:t>
            </w:r>
          </w:p>
          <w:p w14:paraId="3F943C60"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Definition of workflows and activities to fill gaps, how these connect, assignment of roles and responsibilities for each (swimlane flow charts) and instructions for each activity including how the technology/SFMIS supports the activities.</w:t>
            </w:r>
          </w:p>
          <w:p w14:paraId="34DD0B56" w14:textId="77777777" w:rsidR="007773A4" w:rsidRPr="007773A4" w:rsidRDefault="007773A4" w:rsidP="007773A4">
            <w:pPr>
              <w:rPr>
                <w:rFonts w:ascii="Calibri" w:hAnsi="Calibri" w:cs="Calibri"/>
                <w:sz w:val="16"/>
                <w:szCs w:val="16"/>
              </w:rPr>
            </w:pPr>
          </w:p>
          <w:p w14:paraId="1F08C1A1"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Business process review report produced and shared with VA.</w:t>
            </w:r>
          </w:p>
        </w:tc>
        <w:tc>
          <w:tcPr>
            <w:tcW w:w="449" w:type="pct"/>
            <w:tcBorders>
              <w:top w:val="nil"/>
              <w:left w:val="nil"/>
              <w:bottom w:val="single" w:sz="8" w:space="0" w:color="auto"/>
              <w:right w:val="single" w:sz="8" w:space="0" w:color="auto"/>
            </w:tcBorders>
            <w:shd w:val="clear" w:color="auto" w:fill="auto"/>
            <w:vAlign w:val="center"/>
            <w:hideMark/>
          </w:tcPr>
          <w:p w14:paraId="2DF8F9BB"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No</w:t>
            </w:r>
          </w:p>
        </w:tc>
        <w:tc>
          <w:tcPr>
            <w:tcW w:w="641" w:type="pct"/>
            <w:tcBorders>
              <w:top w:val="nil"/>
              <w:left w:val="nil"/>
              <w:bottom w:val="single" w:sz="8" w:space="0" w:color="auto"/>
              <w:right w:val="single" w:sz="8" w:space="0" w:color="auto"/>
            </w:tcBorders>
            <w:shd w:val="clear" w:color="auto" w:fill="auto"/>
            <w:vAlign w:val="center"/>
            <w:hideMark/>
          </w:tcPr>
          <w:p w14:paraId="43915645"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FGS MoF</w:t>
            </w:r>
          </w:p>
        </w:tc>
        <w:tc>
          <w:tcPr>
            <w:tcW w:w="353" w:type="pct"/>
            <w:tcBorders>
              <w:top w:val="nil"/>
              <w:left w:val="nil"/>
              <w:bottom w:val="single" w:sz="8" w:space="0" w:color="auto"/>
              <w:right w:val="single" w:sz="8" w:space="0" w:color="auto"/>
            </w:tcBorders>
            <w:shd w:val="clear" w:color="auto" w:fill="auto"/>
            <w:vAlign w:val="center"/>
            <w:hideMark/>
          </w:tcPr>
          <w:p w14:paraId="39A77F04"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OAuG</w:t>
            </w:r>
          </w:p>
        </w:tc>
        <w:tc>
          <w:tcPr>
            <w:tcW w:w="638" w:type="pct"/>
            <w:tcBorders>
              <w:top w:val="nil"/>
              <w:left w:val="nil"/>
              <w:bottom w:val="single" w:sz="8" w:space="0" w:color="auto"/>
              <w:right w:val="single" w:sz="8" w:space="0" w:color="auto"/>
            </w:tcBorders>
            <w:shd w:val="clear" w:color="auto" w:fill="auto"/>
            <w:vAlign w:val="center"/>
            <w:hideMark/>
          </w:tcPr>
          <w:p w14:paraId="69C09025"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obtain documentation.</w:t>
            </w:r>
          </w:p>
        </w:tc>
      </w:tr>
      <w:tr w:rsidR="007773A4" w:rsidRPr="007773A4" w14:paraId="678F83A1" w14:textId="77777777" w:rsidTr="007773A4">
        <w:trPr>
          <w:trHeight w:val="640"/>
        </w:trPr>
        <w:tc>
          <w:tcPr>
            <w:tcW w:w="1058" w:type="pct"/>
            <w:tcBorders>
              <w:top w:val="nil"/>
              <w:left w:val="single" w:sz="8" w:space="0" w:color="auto"/>
              <w:bottom w:val="single" w:sz="8" w:space="0" w:color="auto"/>
              <w:right w:val="single" w:sz="8" w:space="0" w:color="auto"/>
            </w:tcBorders>
            <w:shd w:val="clear" w:color="auto" w:fill="D9D9D9" w:themeFill="background1" w:themeFillShade="D9"/>
            <w:hideMark/>
          </w:tcPr>
          <w:p w14:paraId="536701BA"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xml:space="preserve">2.2. MoF has approved comprehensive procedures aligned with the business process review for following areas: (i) </w:t>
            </w:r>
            <w:r w:rsidRPr="007773A4">
              <w:rPr>
                <w:rFonts w:ascii="Calibri" w:hAnsi="Calibri" w:cs="Calibri"/>
                <w:sz w:val="16"/>
                <w:szCs w:val="16"/>
              </w:rPr>
              <w:lastRenderedPageBreak/>
              <w:t>planning and budgeting; (ii) internal controls; and (iii) accounting procedures.</w:t>
            </w:r>
          </w:p>
        </w:tc>
        <w:tc>
          <w:tcPr>
            <w:tcW w:w="1860" w:type="pct"/>
            <w:tcBorders>
              <w:top w:val="nil"/>
              <w:left w:val="nil"/>
              <w:bottom w:val="single" w:sz="8" w:space="0" w:color="auto"/>
              <w:right w:val="single" w:sz="8" w:space="0" w:color="auto"/>
            </w:tcBorders>
            <w:shd w:val="clear" w:color="auto" w:fill="auto"/>
            <w:vAlign w:val="center"/>
            <w:hideMark/>
          </w:tcPr>
          <w:p w14:paraId="31BA1270"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lastRenderedPageBreak/>
              <w:t>Approved Comprehensive procedures (for Planning and Budgeting, Internal controls, and Accounting) to include:</w:t>
            </w:r>
          </w:p>
          <w:p w14:paraId="4A6232AC"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xml:space="preserve">- Evidence of Minister of Finance approval of documentation; </w:t>
            </w:r>
          </w:p>
          <w:p w14:paraId="343EBE1C"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Scope of Comprehensive procedures to include:</w:t>
            </w:r>
          </w:p>
          <w:p w14:paraId="661018E7" w14:textId="77777777" w:rsidR="007773A4" w:rsidRPr="007773A4" w:rsidRDefault="007773A4" w:rsidP="007773A4">
            <w:pPr>
              <w:ind w:left="720"/>
              <w:rPr>
                <w:rFonts w:ascii="Calibri" w:hAnsi="Calibri" w:cs="Calibri"/>
                <w:sz w:val="16"/>
                <w:szCs w:val="16"/>
              </w:rPr>
            </w:pPr>
            <w:r w:rsidRPr="007773A4">
              <w:rPr>
                <w:rFonts w:ascii="Calibri" w:hAnsi="Calibri" w:cs="Calibri"/>
                <w:sz w:val="16"/>
                <w:szCs w:val="16"/>
              </w:rPr>
              <w:lastRenderedPageBreak/>
              <w:t>o Activities;</w:t>
            </w:r>
          </w:p>
          <w:p w14:paraId="129842DE" w14:textId="77777777" w:rsidR="007773A4" w:rsidRPr="007773A4" w:rsidRDefault="007773A4" w:rsidP="007773A4">
            <w:pPr>
              <w:ind w:left="720"/>
              <w:rPr>
                <w:rFonts w:ascii="Calibri" w:hAnsi="Calibri" w:cs="Calibri"/>
                <w:sz w:val="16"/>
                <w:szCs w:val="16"/>
              </w:rPr>
            </w:pPr>
            <w:r w:rsidRPr="007773A4">
              <w:rPr>
                <w:rFonts w:ascii="Calibri" w:hAnsi="Calibri" w:cs="Calibri"/>
                <w:sz w:val="16"/>
                <w:szCs w:val="16"/>
              </w:rPr>
              <w:t>o How activities connect;</w:t>
            </w:r>
          </w:p>
          <w:p w14:paraId="7649F62B" w14:textId="77777777" w:rsidR="007773A4" w:rsidRPr="007773A4" w:rsidRDefault="007773A4" w:rsidP="007773A4">
            <w:pPr>
              <w:ind w:left="720"/>
              <w:rPr>
                <w:rFonts w:ascii="Calibri" w:hAnsi="Calibri" w:cs="Calibri"/>
                <w:sz w:val="16"/>
                <w:szCs w:val="16"/>
              </w:rPr>
            </w:pPr>
            <w:r w:rsidRPr="007773A4">
              <w:rPr>
                <w:rFonts w:ascii="Calibri" w:hAnsi="Calibri" w:cs="Calibri"/>
                <w:sz w:val="16"/>
                <w:szCs w:val="16"/>
              </w:rPr>
              <w:t>o Assignment of roles and responsibilities for each activity, and;</w:t>
            </w:r>
          </w:p>
          <w:p w14:paraId="0E75C051" w14:textId="77777777" w:rsidR="007773A4" w:rsidRPr="007773A4" w:rsidRDefault="007773A4" w:rsidP="007773A4">
            <w:pPr>
              <w:ind w:left="720"/>
              <w:rPr>
                <w:rFonts w:ascii="Calibri" w:hAnsi="Calibri" w:cs="Calibri"/>
                <w:sz w:val="16"/>
                <w:szCs w:val="16"/>
              </w:rPr>
            </w:pPr>
            <w:r w:rsidRPr="007773A4">
              <w:rPr>
                <w:rFonts w:ascii="Calibri" w:hAnsi="Calibri" w:cs="Calibri"/>
                <w:sz w:val="16"/>
                <w:szCs w:val="16"/>
              </w:rPr>
              <w:t>o Instructions for each activity including how the technology/SFMIS supports the activities for all workflows across the three areas.</w:t>
            </w:r>
          </w:p>
          <w:p w14:paraId="565F9E18" w14:textId="77777777" w:rsidR="007773A4" w:rsidRPr="007773A4" w:rsidRDefault="007773A4" w:rsidP="007773A4">
            <w:pPr>
              <w:rPr>
                <w:rFonts w:ascii="Calibri" w:hAnsi="Calibri" w:cs="Calibri"/>
                <w:sz w:val="16"/>
                <w:szCs w:val="16"/>
              </w:rPr>
            </w:pPr>
          </w:p>
          <w:p w14:paraId="2D40E12D"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asses updated comprehensive procedures against business process review.</w:t>
            </w:r>
          </w:p>
        </w:tc>
        <w:tc>
          <w:tcPr>
            <w:tcW w:w="449" w:type="pct"/>
            <w:tcBorders>
              <w:top w:val="nil"/>
              <w:left w:val="nil"/>
              <w:bottom w:val="single" w:sz="8" w:space="0" w:color="auto"/>
              <w:right w:val="single" w:sz="8" w:space="0" w:color="auto"/>
            </w:tcBorders>
            <w:shd w:val="clear" w:color="auto" w:fill="auto"/>
            <w:vAlign w:val="center"/>
            <w:hideMark/>
          </w:tcPr>
          <w:p w14:paraId="2D0B48C0"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lastRenderedPageBreak/>
              <w:t>No</w:t>
            </w:r>
          </w:p>
        </w:tc>
        <w:tc>
          <w:tcPr>
            <w:tcW w:w="641" w:type="pct"/>
            <w:tcBorders>
              <w:top w:val="nil"/>
              <w:left w:val="nil"/>
              <w:bottom w:val="single" w:sz="8" w:space="0" w:color="auto"/>
              <w:right w:val="single" w:sz="8" w:space="0" w:color="auto"/>
            </w:tcBorders>
            <w:shd w:val="clear" w:color="auto" w:fill="auto"/>
            <w:vAlign w:val="center"/>
            <w:hideMark/>
          </w:tcPr>
          <w:p w14:paraId="24F2B994"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FGS MoF</w:t>
            </w:r>
          </w:p>
        </w:tc>
        <w:tc>
          <w:tcPr>
            <w:tcW w:w="353" w:type="pct"/>
            <w:tcBorders>
              <w:top w:val="nil"/>
              <w:left w:val="nil"/>
              <w:bottom w:val="single" w:sz="8" w:space="0" w:color="auto"/>
              <w:right w:val="single" w:sz="8" w:space="0" w:color="auto"/>
            </w:tcBorders>
            <w:shd w:val="clear" w:color="auto" w:fill="auto"/>
            <w:vAlign w:val="center"/>
            <w:hideMark/>
          </w:tcPr>
          <w:p w14:paraId="0EC635B7"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OAuG</w:t>
            </w:r>
          </w:p>
        </w:tc>
        <w:tc>
          <w:tcPr>
            <w:tcW w:w="638" w:type="pct"/>
            <w:tcBorders>
              <w:top w:val="nil"/>
              <w:left w:val="nil"/>
              <w:bottom w:val="single" w:sz="8" w:space="0" w:color="auto"/>
              <w:right w:val="single" w:sz="8" w:space="0" w:color="auto"/>
            </w:tcBorders>
            <w:shd w:val="clear" w:color="auto" w:fill="auto"/>
            <w:vAlign w:val="center"/>
            <w:hideMark/>
          </w:tcPr>
          <w:p w14:paraId="650763E0"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obtain documentation.</w:t>
            </w:r>
          </w:p>
        </w:tc>
      </w:tr>
      <w:tr w:rsidR="007773A4" w:rsidRPr="007773A4" w14:paraId="79A0C04A" w14:textId="77777777" w:rsidTr="007773A4">
        <w:trPr>
          <w:trHeight w:val="220"/>
        </w:trPr>
        <w:tc>
          <w:tcPr>
            <w:tcW w:w="5000" w:type="pct"/>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07B9AFFA" w14:textId="77777777" w:rsidR="007773A4" w:rsidRPr="007773A4" w:rsidRDefault="007773A4" w:rsidP="007773A4">
            <w:pPr>
              <w:rPr>
                <w:rFonts w:ascii="Calibri" w:hAnsi="Calibri" w:cs="Calibri"/>
                <w:b/>
                <w:bCs/>
                <w:sz w:val="16"/>
                <w:szCs w:val="16"/>
              </w:rPr>
            </w:pPr>
            <w:r w:rsidRPr="007773A4">
              <w:rPr>
                <w:rFonts w:ascii="Calibri" w:hAnsi="Calibri" w:cs="Calibri"/>
                <w:b/>
                <w:bCs/>
                <w:sz w:val="16"/>
                <w:szCs w:val="16"/>
              </w:rPr>
              <w:lastRenderedPageBreak/>
              <w:t xml:space="preserve">3. Strengthen inter-governmental fiscal policy framework </w:t>
            </w:r>
          </w:p>
        </w:tc>
      </w:tr>
      <w:tr w:rsidR="007773A4" w:rsidRPr="007773A4" w14:paraId="512055DE" w14:textId="77777777" w:rsidTr="007773A4">
        <w:trPr>
          <w:trHeight w:val="430"/>
        </w:trPr>
        <w:tc>
          <w:tcPr>
            <w:tcW w:w="1058" w:type="pct"/>
            <w:tcBorders>
              <w:top w:val="nil"/>
              <w:left w:val="single" w:sz="8" w:space="0" w:color="auto"/>
              <w:bottom w:val="single" w:sz="8" w:space="0" w:color="auto"/>
              <w:right w:val="single" w:sz="8" w:space="0" w:color="auto"/>
            </w:tcBorders>
            <w:shd w:val="clear" w:color="auto" w:fill="D9D9D9" w:themeFill="background1" w:themeFillShade="D9"/>
            <w:hideMark/>
          </w:tcPr>
          <w:p w14:paraId="26FDD91C"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3.1. FGS’ FY 2022 budget provides for appropriations for FGS’ fiscal transfers to FMS/BRA as per an inter-governmentally agreed formula.</w:t>
            </w:r>
          </w:p>
        </w:tc>
        <w:tc>
          <w:tcPr>
            <w:tcW w:w="1860" w:type="pct"/>
            <w:tcBorders>
              <w:top w:val="nil"/>
              <w:left w:val="nil"/>
              <w:bottom w:val="single" w:sz="8" w:space="0" w:color="auto"/>
              <w:right w:val="single" w:sz="8" w:space="0" w:color="auto"/>
            </w:tcBorders>
            <w:shd w:val="clear" w:color="auto" w:fill="auto"/>
            <w:vAlign w:val="center"/>
            <w:hideMark/>
          </w:tcPr>
          <w:p w14:paraId="737ED552"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Inter-governmentally /the agreed formula to be evidenced by agreement among FMS and FGS Finance Ministers as reflected in signed Minutes of Finance Ministers Fiscal Forum.</w:t>
            </w:r>
          </w:p>
          <w:p w14:paraId="63CA95EF" w14:textId="77777777" w:rsidR="007773A4" w:rsidRPr="007773A4" w:rsidRDefault="007773A4" w:rsidP="007773A4">
            <w:pPr>
              <w:rPr>
                <w:rFonts w:ascii="Calibri" w:hAnsi="Calibri" w:cs="Calibri"/>
                <w:sz w:val="16"/>
                <w:szCs w:val="16"/>
              </w:rPr>
            </w:pPr>
          </w:p>
          <w:p w14:paraId="6DE6E86F"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compare fiscal transfer allocations to FMS in draft FGS budget to ensure they reflect agreed formula.</w:t>
            </w:r>
          </w:p>
        </w:tc>
        <w:tc>
          <w:tcPr>
            <w:tcW w:w="449" w:type="pct"/>
            <w:tcBorders>
              <w:top w:val="nil"/>
              <w:left w:val="nil"/>
              <w:bottom w:val="single" w:sz="8" w:space="0" w:color="auto"/>
              <w:right w:val="single" w:sz="8" w:space="0" w:color="auto"/>
            </w:tcBorders>
            <w:shd w:val="clear" w:color="auto" w:fill="auto"/>
            <w:vAlign w:val="center"/>
            <w:hideMark/>
          </w:tcPr>
          <w:p w14:paraId="4E6FD8C5"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No</w:t>
            </w:r>
          </w:p>
        </w:tc>
        <w:tc>
          <w:tcPr>
            <w:tcW w:w="641" w:type="pct"/>
            <w:tcBorders>
              <w:top w:val="nil"/>
              <w:left w:val="nil"/>
              <w:bottom w:val="single" w:sz="8" w:space="0" w:color="auto"/>
              <w:right w:val="single" w:sz="8" w:space="0" w:color="auto"/>
            </w:tcBorders>
            <w:shd w:val="clear" w:color="auto" w:fill="auto"/>
            <w:vAlign w:val="center"/>
            <w:hideMark/>
          </w:tcPr>
          <w:p w14:paraId="33DBCD84"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FGS MoF</w:t>
            </w:r>
          </w:p>
        </w:tc>
        <w:tc>
          <w:tcPr>
            <w:tcW w:w="353" w:type="pct"/>
            <w:tcBorders>
              <w:top w:val="nil"/>
              <w:left w:val="nil"/>
              <w:bottom w:val="single" w:sz="8" w:space="0" w:color="auto"/>
              <w:right w:val="single" w:sz="8" w:space="0" w:color="auto"/>
            </w:tcBorders>
            <w:shd w:val="clear" w:color="auto" w:fill="auto"/>
            <w:vAlign w:val="center"/>
            <w:hideMark/>
          </w:tcPr>
          <w:p w14:paraId="12681387"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OAuG</w:t>
            </w:r>
          </w:p>
        </w:tc>
        <w:tc>
          <w:tcPr>
            <w:tcW w:w="638" w:type="pct"/>
            <w:tcBorders>
              <w:top w:val="nil"/>
              <w:left w:val="nil"/>
              <w:bottom w:val="single" w:sz="8" w:space="0" w:color="auto"/>
              <w:right w:val="single" w:sz="8" w:space="0" w:color="auto"/>
            </w:tcBorders>
            <w:shd w:val="clear" w:color="auto" w:fill="auto"/>
            <w:vAlign w:val="center"/>
            <w:hideMark/>
          </w:tcPr>
          <w:p w14:paraId="3DC1DBF7"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obtain documentation.</w:t>
            </w:r>
          </w:p>
        </w:tc>
      </w:tr>
      <w:tr w:rsidR="007773A4" w:rsidRPr="007773A4" w14:paraId="568C77D5" w14:textId="77777777" w:rsidTr="007773A4">
        <w:trPr>
          <w:trHeight w:val="430"/>
        </w:trPr>
        <w:tc>
          <w:tcPr>
            <w:tcW w:w="1058" w:type="pct"/>
            <w:tcBorders>
              <w:top w:val="nil"/>
              <w:left w:val="single" w:sz="8" w:space="0" w:color="auto"/>
              <w:bottom w:val="single" w:sz="8" w:space="0" w:color="auto"/>
              <w:right w:val="single" w:sz="8" w:space="0" w:color="auto"/>
            </w:tcBorders>
            <w:shd w:val="clear" w:color="auto" w:fill="D9D9D9" w:themeFill="background1" w:themeFillShade="D9"/>
            <w:hideMark/>
          </w:tcPr>
          <w:p w14:paraId="608AF5E5"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3.2. FGS’ FY 2023 budget provides for appropriations for FGS’ fiscal transfers to FMS/BRA as per an inter-governmentally agreed formula.</w:t>
            </w:r>
          </w:p>
        </w:tc>
        <w:tc>
          <w:tcPr>
            <w:tcW w:w="1860" w:type="pct"/>
            <w:tcBorders>
              <w:top w:val="nil"/>
              <w:left w:val="nil"/>
              <w:bottom w:val="single" w:sz="8" w:space="0" w:color="auto"/>
              <w:right w:val="single" w:sz="8" w:space="0" w:color="auto"/>
            </w:tcBorders>
            <w:shd w:val="clear" w:color="auto" w:fill="auto"/>
            <w:vAlign w:val="center"/>
            <w:hideMark/>
          </w:tcPr>
          <w:p w14:paraId="4E0840A3"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Fiscal transfer allocations to FMS in draft FGS budget reflect agreed formula.</w:t>
            </w:r>
          </w:p>
        </w:tc>
        <w:tc>
          <w:tcPr>
            <w:tcW w:w="449" w:type="pct"/>
            <w:tcBorders>
              <w:top w:val="nil"/>
              <w:left w:val="nil"/>
              <w:bottom w:val="single" w:sz="8" w:space="0" w:color="auto"/>
              <w:right w:val="single" w:sz="8" w:space="0" w:color="auto"/>
            </w:tcBorders>
            <w:shd w:val="clear" w:color="auto" w:fill="auto"/>
            <w:vAlign w:val="center"/>
            <w:hideMark/>
          </w:tcPr>
          <w:p w14:paraId="2DA47D04"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No</w:t>
            </w:r>
          </w:p>
        </w:tc>
        <w:tc>
          <w:tcPr>
            <w:tcW w:w="641" w:type="pct"/>
            <w:tcBorders>
              <w:top w:val="nil"/>
              <w:left w:val="nil"/>
              <w:bottom w:val="single" w:sz="8" w:space="0" w:color="auto"/>
              <w:right w:val="single" w:sz="8" w:space="0" w:color="auto"/>
            </w:tcBorders>
            <w:shd w:val="clear" w:color="auto" w:fill="auto"/>
            <w:vAlign w:val="center"/>
            <w:hideMark/>
          </w:tcPr>
          <w:p w14:paraId="1A5CC717"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FGS MoF</w:t>
            </w:r>
          </w:p>
        </w:tc>
        <w:tc>
          <w:tcPr>
            <w:tcW w:w="353" w:type="pct"/>
            <w:tcBorders>
              <w:top w:val="nil"/>
              <w:left w:val="nil"/>
              <w:bottom w:val="single" w:sz="8" w:space="0" w:color="auto"/>
              <w:right w:val="single" w:sz="8" w:space="0" w:color="auto"/>
            </w:tcBorders>
            <w:shd w:val="clear" w:color="auto" w:fill="auto"/>
            <w:vAlign w:val="center"/>
            <w:hideMark/>
          </w:tcPr>
          <w:p w14:paraId="744E7F84"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OAuG</w:t>
            </w:r>
          </w:p>
        </w:tc>
        <w:tc>
          <w:tcPr>
            <w:tcW w:w="638" w:type="pct"/>
            <w:tcBorders>
              <w:top w:val="nil"/>
              <w:left w:val="nil"/>
              <w:bottom w:val="single" w:sz="8" w:space="0" w:color="auto"/>
              <w:right w:val="single" w:sz="8" w:space="0" w:color="auto"/>
            </w:tcBorders>
            <w:shd w:val="clear" w:color="auto" w:fill="auto"/>
            <w:vAlign w:val="center"/>
            <w:hideMark/>
          </w:tcPr>
          <w:p w14:paraId="027ED3B5"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obtain documentation.</w:t>
            </w:r>
          </w:p>
        </w:tc>
      </w:tr>
      <w:tr w:rsidR="007773A4" w:rsidRPr="007773A4" w14:paraId="1095EEB4" w14:textId="77777777" w:rsidTr="007773A4">
        <w:trPr>
          <w:trHeight w:val="220"/>
        </w:trPr>
        <w:tc>
          <w:tcPr>
            <w:tcW w:w="5000" w:type="pct"/>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65DDFF3F" w14:textId="77777777" w:rsidR="007773A4" w:rsidRPr="007773A4" w:rsidRDefault="007773A4" w:rsidP="007773A4">
            <w:pPr>
              <w:rPr>
                <w:rFonts w:ascii="Calibri" w:hAnsi="Calibri" w:cs="Calibri"/>
                <w:b/>
                <w:bCs/>
                <w:sz w:val="16"/>
                <w:szCs w:val="16"/>
              </w:rPr>
            </w:pPr>
            <w:r w:rsidRPr="007773A4">
              <w:rPr>
                <w:rFonts w:ascii="Calibri" w:hAnsi="Calibri" w:cs="Calibri"/>
                <w:b/>
                <w:bCs/>
                <w:sz w:val="16"/>
                <w:szCs w:val="16"/>
              </w:rPr>
              <w:t>4. Strengthen FGS transfers to FMS</w:t>
            </w:r>
          </w:p>
        </w:tc>
      </w:tr>
      <w:tr w:rsidR="007773A4" w:rsidRPr="007773A4" w14:paraId="7164DBA9" w14:textId="77777777" w:rsidTr="007773A4">
        <w:trPr>
          <w:trHeight w:val="430"/>
        </w:trPr>
        <w:tc>
          <w:tcPr>
            <w:tcW w:w="1058" w:type="pct"/>
            <w:tcBorders>
              <w:top w:val="nil"/>
              <w:left w:val="single" w:sz="8" w:space="0" w:color="auto"/>
              <w:bottom w:val="single" w:sz="8" w:space="0" w:color="auto"/>
              <w:right w:val="single" w:sz="8" w:space="0" w:color="auto"/>
            </w:tcBorders>
            <w:shd w:val="clear" w:color="auto" w:fill="D9D9D9" w:themeFill="background1" w:themeFillShade="D9"/>
            <w:hideMark/>
          </w:tcPr>
          <w:p w14:paraId="62F3288F" w14:textId="77777777" w:rsidR="007773A4" w:rsidRPr="007773A4" w:rsidRDefault="007773A4" w:rsidP="007773A4">
            <w:pPr>
              <w:tabs>
                <w:tab w:val="left" w:pos="480"/>
              </w:tabs>
              <w:rPr>
                <w:rFonts w:ascii="Calibri" w:hAnsi="Calibri" w:cs="Calibri"/>
                <w:sz w:val="16"/>
                <w:szCs w:val="16"/>
              </w:rPr>
            </w:pPr>
            <w:r w:rsidRPr="007773A4">
              <w:rPr>
                <w:rFonts w:ascii="Calibri" w:hAnsi="Calibri" w:cs="Calibri"/>
                <w:sz w:val="16"/>
                <w:szCs w:val="16"/>
              </w:rPr>
              <w:t>4.1. FGS’ fiscal transfers execution rate for th</w:t>
            </w:r>
            <w:r w:rsidRPr="007773A4">
              <w:rPr>
                <w:rFonts w:ascii="Calibri" w:hAnsi="Calibri" w:cs="Calibri"/>
                <w:sz w:val="16"/>
                <w:szCs w:val="16"/>
                <w:vertAlign w:val="superscript"/>
              </w:rPr>
              <w:t xml:space="preserve">e </w:t>
            </w:r>
            <w:r w:rsidRPr="007773A4">
              <w:rPr>
                <w:rFonts w:ascii="Calibri" w:hAnsi="Calibri" w:cs="Calibri"/>
                <w:sz w:val="16"/>
                <w:szCs w:val="16"/>
              </w:rPr>
              <w:t>1st half of FY 2022 to FMS/BRA is equal to, or greater than, the out turn rate for FGS’ domestic revenues.</w:t>
            </w:r>
          </w:p>
        </w:tc>
        <w:tc>
          <w:tcPr>
            <w:tcW w:w="1860" w:type="pct"/>
            <w:tcBorders>
              <w:top w:val="nil"/>
              <w:left w:val="nil"/>
              <w:bottom w:val="single" w:sz="8" w:space="0" w:color="auto"/>
              <w:right w:val="single" w:sz="8" w:space="0" w:color="auto"/>
            </w:tcBorders>
            <w:shd w:val="clear" w:color="auto" w:fill="auto"/>
            <w:vAlign w:val="center"/>
            <w:hideMark/>
          </w:tcPr>
          <w:p w14:paraId="2567E67E"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FGS 2022 Approved Budget, and SFMIS expenditure reports for January – June 2022</w:t>
            </w:r>
          </w:p>
        </w:tc>
        <w:tc>
          <w:tcPr>
            <w:tcW w:w="449" w:type="pct"/>
            <w:tcBorders>
              <w:top w:val="nil"/>
              <w:left w:val="nil"/>
              <w:bottom w:val="single" w:sz="8" w:space="0" w:color="auto"/>
              <w:right w:val="single" w:sz="8" w:space="0" w:color="auto"/>
            </w:tcBorders>
            <w:shd w:val="clear" w:color="auto" w:fill="auto"/>
            <w:vAlign w:val="center"/>
            <w:hideMark/>
          </w:tcPr>
          <w:p w14:paraId="1E0242DF"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No</w:t>
            </w:r>
          </w:p>
        </w:tc>
        <w:tc>
          <w:tcPr>
            <w:tcW w:w="641" w:type="pct"/>
            <w:tcBorders>
              <w:top w:val="nil"/>
              <w:left w:val="nil"/>
              <w:bottom w:val="single" w:sz="8" w:space="0" w:color="auto"/>
              <w:right w:val="single" w:sz="8" w:space="0" w:color="auto"/>
            </w:tcBorders>
            <w:shd w:val="clear" w:color="auto" w:fill="auto"/>
            <w:vAlign w:val="center"/>
            <w:hideMark/>
          </w:tcPr>
          <w:p w14:paraId="57CC2958"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FGS Budget and SFMIS reports, OAg</w:t>
            </w:r>
          </w:p>
        </w:tc>
        <w:tc>
          <w:tcPr>
            <w:tcW w:w="353" w:type="pct"/>
            <w:tcBorders>
              <w:top w:val="nil"/>
              <w:left w:val="nil"/>
              <w:bottom w:val="single" w:sz="8" w:space="0" w:color="auto"/>
              <w:right w:val="single" w:sz="8" w:space="0" w:color="auto"/>
            </w:tcBorders>
            <w:shd w:val="clear" w:color="auto" w:fill="auto"/>
            <w:vAlign w:val="center"/>
            <w:hideMark/>
          </w:tcPr>
          <w:p w14:paraId="4E5B07FC"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OAuG</w:t>
            </w:r>
          </w:p>
        </w:tc>
        <w:tc>
          <w:tcPr>
            <w:tcW w:w="638" w:type="pct"/>
            <w:tcBorders>
              <w:top w:val="nil"/>
              <w:left w:val="nil"/>
              <w:bottom w:val="single" w:sz="8" w:space="0" w:color="auto"/>
              <w:right w:val="single" w:sz="8" w:space="0" w:color="auto"/>
            </w:tcBorders>
            <w:shd w:val="clear" w:color="auto" w:fill="auto"/>
            <w:vAlign w:val="center"/>
            <w:hideMark/>
          </w:tcPr>
          <w:p w14:paraId="154E216C"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verify targets.</w:t>
            </w:r>
          </w:p>
        </w:tc>
      </w:tr>
      <w:tr w:rsidR="007773A4" w:rsidRPr="007773A4" w14:paraId="73F1377C" w14:textId="77777777" w:rsidTr="007773A4">
        <w:trPr>
          <w:trHeight w:val="430"/>
        </w:trPr>
        <w:tc>
          <w:tcPr>
            <w:tcW w:w="1058" w:type="pct"/>
            <w:tcBorders>
              <w:top w:val="nil"/>
              <w:left w:val="single" w:sz="8" w:space="0" w:color="auto"/>
              <w:bottom w:val="single" w:sz="8" w:space="0" w:color="auto"/>
              <w:right w:val="single" w:sz="8" w:space="0" w:color="auto"/>
            </w:tcBorders>
            <w:shd w:val="clear" w:color="auto" w:fill="D9D9D9" w:themeFill="background1" w:themeFillShade="D9"/>
            <w:hideMark/>
          </w:tcPr>
          <w:p w14:paraId="454BE1C6"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4.2. FGS’ fiscal transfers execution rate for th</w:t>
            </w:r>
            <w:r w:rsidRPr="007773A4">
              <w:rPr>
                <w:rFonts w:ascii="Calibri" w:hAnsi="Calibri" w:cs="Calibri"/>
                <w:sz w:val="16"/>
                <w:szCs w:val="16"/>
                <w:vertAlign w:val="superscript"/>
              </w:rPr>
              <w:t xml:space="preserve">e </w:t>
            </w:r>
            <w:r w:rsidRPr="007773A4">
              <w:rPr>
                <w:rFonts w:ascii="Calibri" w:hAnsi="Calibri" w:cs="Calibri"/>
                <w:sz w:val="16"/>
                <w:szCs w:val="16"/>
              </w:rPr>
              <w:t>1st half of FY 2023 to FMS/BRA is equal to, or greater than, the out turn rate for FGS’ domestic revenues.</w:t>
            </w:r>
          </w:p>
        </w:tc>
        <w:tc>
          <w:tcPr>
            <w:tcW w:w="1860" w:type="pct"/>
            <w:tcBorders>
              <w:top w:val="nil"/>
              <w:left w:val="nil"/>
              <w:bottom w:val="single" w:sz="8" w:space="0" w:color="auto"/>
              <w:right w:val="single" w:sz="8" w:space="0" w:color="auto"/>
            </w:tcBorders>
            <w:shd w:val="clear" w:color="auto" w:fill="auto"/>
            <w:vAlign w:val="center"/>
            <w:hideMark/>
          </w:tcPr>
          <w:p w14:paraId="0B213AAE"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FGS 2023 Approved Budget, and SFMIS expenditure reports for January – June 2023</w:t>
            </w:r>
          </w:p>
        </w:tc>
        <w:tc>
          <w:tcPr>
            <w:tcW w:w="449" w:type="pct"/>
            <w:tcBorders>
              <w:top w:val="nil"/>
              <w:left w:val="nil"/>
              <w:bottom w:val="single" w:sz="8" w:space="0" w:color="auto"/>
              <w:right w:val="single" w:sz="8" w:space="0" w:color="auto"/>
            </w:tcBorders>
            <w:shd w:val="clear" w:color="auto" w:fill="auto"/>
            <w:vAlign w:val="center"/>
            <w:hideMark/>
          </w:tcPr>
          <w:p w14:paraId="14D4DF35"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No</w:t>
            </w:r>
          </w:p>
        </w:tc>
        <w:tc>
          <w:tcPr>
            <w:tcW w:w="641" w:type="pct"/>
            <w:tcBorders>
              <w:top w:val="nil"/>
              <w:left w:val="nil"/>
              <w:bottom w:val="single" w:sz="8" w:space="0" w:color="auto"/>
              <w:right w:val="single" w:sz="8" w:space="0" w:color="auto"/>
            </w:tcBorders>
            <w:shd w:val="clear" w:color="auto" w:fill="auto"/>
            <w:vAlign w:val="center"/>
            <w:hideMark/>
          </w:tcPr>
          <w:p w14:paraId="4583BE5C"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FGS Budget and SFMIS reports, OAg</w:t>
            </w:r>
          </w:p>
        </w:tc>
        <w:tc>
          <w:tcPr>
            <w:tcW w:w="353" w:type="pct"/>
            <w:tcBorders>
              <w:top w:val="nil"/>
              <w:left w:val="nil"/>
              <w:bottom w:val="single" w:sz="8" w:space="0" w:color="auto"/>
              <w:right w:val="single" w:sz="8" w:space="0" w:color="auto"/>
            </w:tcBorders>
            <w:shd w:val="clear" w:color="auto" w:fill="auto"/>
            <w:vAlign w:val="center"/>
            <w:hideMark/>
          </w:tcPr>
          <w:p w14:paraId="6A2A9B8C"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OAuG</w:t>
            </w:r>
          </w:p>
        </w:tc>
        <w:tc>
          <w:tcPr>
            <w:tcW w:w="638" w:type="pct"/>
            <w:tcBorders>
              <w:top w:val="nil"/>
              <w:left w:val="nil"/>
              <w:bottom w:val="single" w:sz="8" w:space="0" w:color="auto"/>
              <w:right w:val="single" w:sz="8" w:space="0" w:color="auto"/>
            </w:tcBorders>
            <w:shd w:val="clear" w:color="auto" w:fill="auto"/>
            <w:vAlign w:val="center"/>
            <w:hideMark/>
          </w:tcPr>
          <w:p w14:paraId="7F9E38AD"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verify targets.</w:t>
            </w:r>
          </w:p>
        </w:tc>
      </w:tr>
      <w:tr w:rsidR="007773A4" w:rsidRPr="007773A4" w14:paraId="4C2E3EB0" w14:textId="77777777" w:rsidTr="007773A4">
        <w:trPr>
          <w:trHeight w:val="220"/>
        </w:trPr>
        <w:tc>
          <w:tcPr>
            <w:tcW w:w="5000" w:type="pct"/>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07EA8CF5" w14:textId="77777777" w:rsidR="007773A4" w:rsidRPr="007773A4" w:rsidRDefault="007773A4" w:rsidP="007773A4">
            <w:pPr>
              <w:rPr>
                <w:rFonts w:ascii="Calibri" w:hAnsi="Calibri" w:cs="Calibri"/>
                <w:b/>
                <w:bCs/>
                <w:sz w:val="16"/>
                <w:szCs w:val="16"/>
              </w:rPr>
            </w:pPr>
            <w:r w:rsidRPr="007773A4">
              <w:rPr>
                <w:rFonts w:ascii="Calibri" w:hAnsi="Calibri" w:cs="Calibri"/>
                <w:b/>
                <w:bCs/>
                <w:sz w:val="16"/>
                <w:szCs w:val="16"/>
              </w:rPr>
              <w:t>5. Strengthen Public Administration</w:t>
            </w:r>
          </w:p>
        </w:tc>
      </w:tr>
      <w:tr w:rsidR="007773A4" w:rsidRPr="007773A4" w14:paraId="212648F2" w14:textId="77777777" w:rsidTr="007773A4">
        <w:trPr>
          <w:trHeight w:val="430"/>
        </w:trPr>
        <w:tc>
          <w:tcPr>
            <w:tcW w:w="1058" w:type="pct"/>
            <w:tcBorders>
              <w:top w:val="nil"/>
              <w:left w:val="single" w:sz="8" w:space="0" w:color="auto"/>
              <w:bottom w:val="single" w:sz="8" w:space="0" w:color="auto"/>
              <w:right w:val="single" w:sz="8" w:space="0" w:color="auto"/>
            </w:tcBorders>
            <w:shd w:val="clear" w:color="auto" w:fill="D9D9D9" w:themeFill="background1" w:themeFillShade="D9"/>
            <w:hideMark/>
          </w:tcPr>
          <w:p w14:paraId="2527BBCF"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5.1. FGS has: (i) enacted a pension law; (ii) adopted regulations on pensions for civil servants (including those guiding collection); and (iii) established a pension secretariat with the participation of all relevant MDAs.</w:t>
            </w:r>
          </w:p>
        </w:tc>
        <w:tc>
          <w:tcPr>
            <w:tcW w:w="1860" w:type="pct"/>
            <w:tcBorders>
              <w:top w:val="nil"/>
              <w:left w:val="nil"/>
              <w:bottom w:val="single" w:sz="8" w:space="0" w:color="auto"/>
              <w:right w:val="single" w:sz="8" w:space="0" w:color="auto"/>
            </w:tcBorders>
            <w:shd w:val="clear" w:color="auto" w:fill="auto"/>
            <w:vAlign w:val="center"/>
            <w:hideMark/>
          </w:tcPr>
          <w:p w14:paraId="005CADD3"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Pensions Secretariat is “established” when:</w:t>
            </w:r>
          </w:p>
          <w:p w14:paraId="7E851EE9"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Pension secretariat is meeting on regular basis as specified in the law to resolve policy questions, and;</w:t>
            </w:r>
          </w:p>
          <w:p w14:paraId="53FFD7BE"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Public information campaign about the pension system was launched.</w:t>
            </w:r>
          </w:p>
          <w:p w14:paraId="19046912" w14:textId="77777777" w:rsidR="007773A4" w:rsidRPr="007773A4" w:rsidRDefault="007773A4" w:rsidP="007773A4">
            <w:pPr>
              <w:rPr>
                <w:rFonts w:ascii="Calibri" w:hAnsi="Calibri" w:cs="Calibri"/>
                <w:sz w:val="16"/>
                <w:szCs w:val="16"/>
              </w:rPr>
            </w:pPr>
          </w:p>
          <w:p w14:paraId="593F913C"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Law, Regulations, and VA verifies establishment of Pension Secretariat.</w:t>
            </w:r>
          </w:p>
        </w:tc>
        <w:tc>
          <w:tcPr>
            <w:tcW w:w="449" w:type="pct"/>
            <w:tcBorders>
              <w:top w:val="nil"/>
              <w:left w:val="nil"/>
              <w:bottom w:val="single" w:sz="8" w:space="0" w:color="auto"/>
              <w:right w:val="single" w:sz="8" w:space="0" w:color="auto"/>
            </w:tcBorders>
            <w:shd w:val="clear" w:color="auto" w:fill="auto"/>
            <w:vAlign w:val="center"/>
            <w:hideMark/>
          </w:tcPr>
          <w:p w14:paraId="76B37F63"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No</w:t>
            </w:r>
          </w:p>
        </w:tc>
        <w:tc>
          <w:tcPr>
            <w:tcW w:w="641" w:type="pct"/>
            <w:tcBorders>
              <w:top w:val="nil"/>
              <w:left w:val="nil"/>
              <w:bottom w:val="single" w:sz="8" w:space="0" w:color="auto"/>
              <w:right w:val="single" w:sz="8" w:space="0" w:color="auto"/>
            </w:tcBorders>
            <w:shd w:val="clear" w:color="auto" w:fill="auto"/>
            <w:vAlign w:val="center"/>
            <w:hideMark/>
          </w:tcPr>
          <w:p w14:paraId="5F2AFBF0"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FGS MoF</w:t>
            </w:r>
          </w:p>
        </w:tc>
        <w:tc>
          <w:tcPr>
            <w:tcW w:w="353" w:type="pct"/>
            <w:tcBorders>
              <w:top w:val="nil"/>
              <w:left w:val="nil"/>
              <w:bottom w:val="single" w:sz="8" w:space="0" w:color="auto"/>
              <w:right w:val="single" w:sz="8" w:space="0" w:color="auto"/>
            </w:tcBorders>
            <w:shd w:val="clear" w:color="auto" w:fill="auto"/>
            <w:vAlign w:val="center"/>
            <w:hideMark/>
          </w:tcPr>
          <w:p w14:paraId="0F101383"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OAuG</w:t>
            </w:r>
          </w:p>
        </w:tc>
        <w:tc>
          <w:tcPr>
            <w:tcW w:w="638" w:type="pct"/>
            <w:tcBorders>
              <w:top w:val="nil"/>
              <w:left w:val="nil"/>
              <w:bottom w:val="single" w:sz="8" w:space="0" w:color="auto"/>
              <w:right w:val="single" w:sz="8" w:space="0" w:color="auto"/>
            </w:tcBorders>
            <w:shd w:val="clear" w:color="auto" w:fill="auto"/>
            <w:vAlign w:val="center"/>
            <w:hideMark/>
          </w:tcPr>
          <w:p w14:paraId="76C93C96"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obtain documentation.</w:t>
            </w:r>
          </w:p>
        </w:tc>
      </w:tr>
      <w:tr w:rsidR="007773A4" w:rsidRPr="007773A4" w14:paraId="59C5819A" w14:textId="77777777" w:rsidTr="007773A4">
        <w:trPr>
          <w:trHeight w:val="220"/>
        </w:trPr>
        <w:tc>
          <w:tcPr>
            <w:tcW w:w="1058" w:type="pct"/>
            <w:tcBorders>
              <w:top w:val="nil"/>
              <w:left w:val="single" w:sz="8" w:space="0" w:color="auto"/>
              <w:bottom w:val="single" w:sz="8" w:space="0" w:color="auto"/>
              <w:right w:val="single" w:sz="8" w:space="0" w:color="auto"/>
            </w:tcBorders>
            <w:shd w:val="clear" w:color="auto" w:fill="D9D9D9" w:themeFill="background1" w:themeFillShade="D9"/>
            <w:hideMark/>
          </w:tcPr>
          <w:p w14:paraId="54C92888"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5.2. FGS has established, staffed and operationalized a pension unit within six (6) months from the commencement of pension collections.</w:t>
            </w:r>
          </w:p>
        </w:tc>
        <w:tc>
          <w:tcPr>
            <w:tcW w:w="1860" w:type="pct"/>
            <w:tcBorders>
              <w:top w:val="nil"/>
              <w:left w:val="nil"/>
              <w:bottom w:val="single" w:sz="8" w:space="0" w:color="auto"/>
              <w:right w:val="single" w:sz="8" w:space="0" w:color="auto"/>
            </w:tcBorders>
            <w:shd w:val="clear" w:color="auto" w:fill="auto"/>
            <w:vAlign w:val="center"/>
            <w:hideMark/>
          </w:tcPr>
          <w:p w14:paraId="4424C139"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Pension Unit deemed “established, staffed and operational” when:</w:t>
            </w:r>
          </w:p>
          <w:p w14:paraId="51157D0D"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Pension unit has been staffed with at least an Administrative Director, an IT person, a benefits person, and a public information person, and;</w:t>
            </w:r>
          </w:p>
          <w:p w14:paraId="406B314B"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xml:space="preserve">- Pension unit either has access to the Human Resource Management Information System which contains records of the civil servants who have </w:t>
            </w:r>
            <w:r w:rsidRPr="007773A4">
              <w:rPr>
                <w:rFonts w:ascii="Calibri" w:hAnsi="Calibri" w:cs="Calibri"/>
                <w:sz w:val="16"/>
                <w:szCs w:val="16"/>
              </w:rPr>
              <w:lastRenderedPageBreak/>
              <w:t>reached the age of retirement or has these records transferred to its own IT system.</w:t>
            </w:r>
          </w:p>
          <w:p w14:paraId="6B4ECE5B" w14:textId="77777777" w:rsidR="007773A4" w:rsidRPr="007773A4" w:rsidRDefault="007773A4" w:rsidP="007773A4">
            <w:pPr>
              <w:rPr>
                <w:rFonts w:ascii="Calibri" w:hAnsi="Calibri" w:cs="Calibri"/>
                <w:sz w:val="16"/>
                <w:szCs w:val="16"/>
              </w:rPr>
            </w:pPr>
          </w:p>
          <w:p w14:paraId="494F572B"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confirms through review of HR records.</w:t>
            </w:r>
          </w:p>
        </w:tc>
        <w:tc>
          <w:tcPr>
            <w:tcW w:w="449" w:type="pct"/>
            <w:tcBorders>
              <w:top w:val="nil"/>
              <w:left w:val="nil"/>
              <w:bottom w:val="single" w:sz="8" w:space="0" w:color="auto"/>
              <w:right w:val="single" w:sz="8" w:space="0" w:color="auto"/>
            </w:tcBorders>
            <w:shd w:val="clear" w:color="auto" w:fill="auto"/>
            <w:vAlign w:val="center"/>
            <w:hideMark/>
          </w:tcPr>
          <w:p w14:paraId="03CFEBDC"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lastRenderedPageBreak/>
              <w:t>No</w:t>
            </w:r>
          </w:p>
        </w:tc>
        <w:tc>
          <w:tcPr>
            <w:tcW w:w="641" w:type="pct"/>
            <w:tcBorders>
              <w:top w:val="nil"/>
              <w:left w:val="nil"/>
              <w:bottom w:val="single" w:sz="8" w:space="0" w:color="auto"/>
              <w:right w:val="single" w:sz="8" w:space="0" w:color="auto"/>
            </w:tcBorders>
            <w:shd w:val="clear" w:color="auto" w:fill="auto"/>
            <w:vAlign w:val="center"/>
            <w:hideMark/>
          </w:tcPr>
          <w:p w14:paraId="5A98053A"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FGS Ministry of Labor and the Civil Service Commission</w:t>
            </w:r>
          </w:p>
        </w:tc>
        <w:tc>
          <w:tcPr>
            <w:tcW w:w="353" w:type="pct"/>
            <w:tcBorders>
              <w:top w:val="nil"/>
              <w:left w:val="nil"/>
              <w:bottom w:val="single" w:sz="8" w:space="0" w:color="auto"/>
              <w:right w:val="single" w:sz="8" w:space="0" w:color="auto"/>
            </w:tcBorders>
            <w:shd w:val="clear" w:color="auto" w:fill="auto"/>
            <w:vAlign w:val="center"/>
            <w:hideMark/>
          </w:tcPr>
          <w:p w14:paraId="150D65A7"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OAuG</w:t>
            </w:r>
          </w:p>
        </w:tc>
        <w:tc>
          <w:tcPr>
            <w:tcW w:w="638" w:type="pct"/>
            <w:tcBorders>
              <w:top w:val="nil"/>
              <w:left w:val="nil"/>
              <w:bottom w:val="single" w:sz="8" w:space="0" w:color="auto"/>
              <w:right w:val="single" w:sz="8" w:space="0" w:color="auto"/>
            </w:tcBorders>
            <w:shd w:val="clear" w:color="auto" w:fill="auto"/>
            <w:vAlign w:val="center"/>
            <w:hideMark/>
          </w:tcPr>
          <w:p w14:paraId="3E017A81"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obtain undertake assessment.</w:t>
            </w:r>
          </w:p>
        </w:tc>
      </w:tr>
    </w:tbl>
    <w:p w14:paraId="578474E4" w14:textId="7EA125CF" w:rsidR="007773A4" w:rsidRPr="007773A4" w:rsidRDefault="007773A4" w:rsidP="007773A4"/>
    <w:p w14:paraId="0F85218D" w14:textId="77777777" w:rsidR="007773A4" w:rsidRPr="007773A4" w:rsidRDefault="007773A4" w:rsidP="007773A4">
      <w:pPr>
        <w:sectPr w:rsidR="007773A4" w:rsidRPr="007773A4" w:rsidSect="007773A4">
          <w:footerReference w:type="first" r:id="rId22"/>
          <w:pgSz w:w="15840" w:h="12240" w:orient="landscape"/>
          <w:pgMar w:top="1440" w:right="1440" w:bottom="720" w:left="1440" w:header="720" w:footer="720" w:gutter="0"/>
          <w:cols w:space="720"/>
          <w:docGrid w:linePitch="360"/>
        </w:sectPr>
      </w:pPr>
    </w:p>
    <w:p w14:paraId="0164E615" w14:textId="1B4F8DAD" w:rsidR="007773A4" w:rsidRPr="002824F4" w:rsidRDefault="007773A4" w:rsidP="002824F4">
      <w:pPr>
        <w:spacing w:after="120"/>
        <w:ind w:left="-540"/>
        <w:jc w:val="center"/>
        <w:rPr>
          <w:b/>
          <w:sz w:val="22"/>
          <w:szCs w:val="22"/>
        </w:rPr>
      </w:pPr>
      <w:bookmarkStart w:id="36" w:name="_Toc37773477"/>
      <w:bookmarkStart w:id="37" w:name="_Toc41605718"/>
      <w:r w:rsidRPr="002824F4">
        <w:rPr>
          <w:b/>
          <w:sz w:val="22"/>
          <w:szCs w:val="22"/>
        </w:rPr>
        <w:lastRenderedPageBreak/>
        <w:t xml:space="preserve">Table </w:t>
      </w:r>
      <w:r w:rsidR="002824F4">
        <w:rPr>
          <w:b/>
          <w:sz w:val="22"/>
          <w:szCs w:val="22"/>
        </w:rPr>
        <w:t>4</w:t>
      </w:r>
      <w:r w:rsidRPr="002824F4">
        <w:rPr>
          <w:b/>
          <w:sz w:val="22"/>
          <w:szCs w:val="22"/>
        </w:rPr>
        <w:t>: RCRF III PBCs (for FMS, Sub-Component 2.2)</w:t>
      </w:r>
      <w:bookmarkEnd w:id="36"/>
      <w:bookmarkEnd w:id="37"/>
      <w:r w:rsidR="006B05A1">
        <w:rPr>
          <w:rStyle w:val="FootnoteReference"/>
          <w:b/>
          <w:sz w:val="22"/>
          <w:szCs w:val="22"/>
        </w:rPr>
        <w:footnoteReference w:id="4"/>
      </w:r>
    </w:p>
    <w:tbl>
      <w:tblPr>
        <w:tblW w:w="5247" w:type="pct"/>
        <w:tblInd w:w="-640" w:type="dxa"/>
        <w:tblLook w:val="04A0" w:firstRow="1" w:lastRow="0" w:firstColumn="1" w:lastColumn="0" w:noHBand="0" w:noVBand="1"/>
      </w:tblPr>
      <w:tblGrid>
        <w:gridCol w:w="2340"/>
        <w:gridCol w:w="2159"/>
        <w:gridCol w:w="1980"/>
        <w:gridCol w:w="1983"/>
        <w:gridCol w:w="1706"/>
        <w:gridCol w:w="1708"/>
        <w:gridCol w:w="1703"/>
      </w:tblGrid>
      <w:tr w:rsidR="007773A4" w:rsidRPr="007773A4" w14:paraId="067D68D0" w14:textId="77777777" w:rsidTr="007773A4">
        <w:trPr>
          <w:trHeight w:val="52"/>
          <w:tblHeader/>
        </w:trPr>
        <w:tc>
          <w:tcPr>
            <w:tcW w:w="86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DB6E86" w14:textId="77777777" w:rsidR="007773A4" w:rsidRPr="007773A4" w:rsidRDefault="007773A4" w:rsidP="007773A4">
            <w:pPr>
              <w:jc w:val="center"/>
              <w:rPr>
                <w:rFonts w:ascii="Calibri" w:hAnsi="Calibri" w:cs="Calibri"/>
                <w:b/>
                <w:bCs/>
                <w:sz w:val="16"/>
                <w:szCs w:val="16"/>
                <w:lang w:eastAsia="ja-JP"/>
              </w:rPr>
            </w:pPr>
            <w:r w:rsidRPr="007773A4">
              <w:rPr>
                <w:rFonts w:ascii="Calibri" w:hAnsi="Calibri" w:cs="Calibri"/>
                <w:b/>
                <w:bCs/>
                <w:sz w:val="16"/>
                <w:szCs w:val="16"/>
                <w:lang w:eastAsia="ja-JP"/>
              </w:rPr>
              <w:t>Reform Benchmark (PBC) and Baseline</w:t>
            </w:r>
          </w:p>
        </w:tc>
        <w:tc>
          <w:tcPr>
            <w:tcW w:w="795" w:type="pct"/>
            <w:tcBorders>
              <w:top w:val="single" w:sz="8" w:space="0" w:color="auto"/>
              <w:left w:val="nil"/>
              <w:bottom w:val="single" w:sz="8" w:space="0" w:color="auto"/>
              <w:right w:val="single" w:sz="8" w:space="0" w:color="auto"/>
            </w:tcBorders>
            <w:shd w:val="clear" w:color="auto" w:fill="auto"/>
            <w:vAlign w:val="center"/>
            <w:hideMark/>
          </w:tcPr>
          <w:p w14:paraId="7B2BDBAD" w14:textId="77777777" w:rsidR="007773A4" w:rsidRPr="007773A4" w:rsidRDefault="007773A4" w:rsidP="007773A4">
            <w:pPr>
              <w:jc w:val="center"/>
              <w:rPr>
                <w:rFonts w:ascii="Calibri" w:hAnsi="Calibri" w:cs="Calibri"/>
                <w:b/>
                <w:bCs/>
                <w:sz w:val="16"/>
                <w:szCs w:val="16"/>
                <w:lang w:eastAsia="ja-JP"/>
              </w:rPr>
            </w:pPr>
            <w:r w:rsidRPr="007773A4">
              <w:rPr>
                <w:rFonts w:ascii="Calibri" w:hAnsi="Calibri" w:cs="Calibri"/>
                <w:b/>
                <w:bCs/>
                <w:sz w:val="16"/>
                <w:szCs w:val="16"/>
                <w:lang w:eastAsia="ja-JP"/>
              </w:rPr>
              <w:t>2020</w:t>
            </w:r>
          </w:p>
        </w:tc>
        <w:tc>
          <w:tcPr>
            <w:tcW w:w="1459" w:type="pct"/>
            <w:gridSpan w:val="2"/>
            <w:tcBorders>
              <w:top w:val="single" w:sz="8" w:space="0" w:color="auto"/>
              <w:left w:val="nil"/>
              <w:bottom w:val="single" w:sz="8" w:space="0" w:color="auto"/>
              <w:right w:val="single" w:sz="8" w:space="0" w:color="auto"/>
            </w:tcBorders>
            <w:shd w:val="clear" w:color="auto" w:fill="auto"/>
            <w:vAlign w:val="center"/>
            <w:hideMark/>
          </w:tcPr>
          <w:p w14:paraId="5C976EC0" w14:textId="77777777" w:rsidR="007773A4" w:rsidRPr="007773A4" w:rsidRDefault="007773A4" w:rsidP="007773A4">
            <w:pPr>
              <w:jc w:val="center"/>
              <w:rPr>
                <w:rFonts w:ascii="Calibri" w:hAnsi="Calibri" w:cs="Calibri"/>
                <w:b/>
                <w:bCs/>
                <w:sz w:val="16"/>
                <w:szCs w:val="16"/>
                <w:lang w:eastAsia="ja-JP"/>
              </w:rPr>
            </w:pPr>
            <w:r w:rsidRPr="007773A4">
              <w:rPr>
                <w:rFonts w:ascii="Calibri" w:hAnsi="Calibri" w:cs="Calibri"/>
                <w:b/>
                <w:bCs/>
                <w:sz w:val="16"/>
                <w:szCs w:val="16"/>
                <w:lang w:eastAsia="ja-JP"/>
              </w:rPr>
              <w:t>2021</w:t>
            </w:r>
          </w:p>
        </w:tc>
        <w:tc>
          <w:tcPr>
            <w:tcW w:w="1257" w:type="pct"/>
            <w:gridSpan w:val="2"/>
            <w:tcBorders>
              <w:top w:val="single" w:sz="8" w:space="0" w:color="auto"/>
              <w:left w:val="nil"/>
              <w:bottom w:val="single" w:sz="8" w:space="0" w:color="auto"/>
              <w:right w:val="single" w:sz="8" w:space="0" w:color="auto"/>
            </w:tcBorders>
            <w:shd w:val="clear" w:color="auto" w:fill="auto"/>
            <w:vAlign w:val="center"/>
            <w:hideMark/>
          </w:tcPr>
          <w:p w14:paraId="38809763" w14:textId="77777777" w:rsidR="007773A4" w:rsidRPr="007773A4" w:rsidRDefault="007773A4" w:rsidP="007773A4">
            <w:pPr>
              <w:jc w:val="center"/>
              <w:rPr>
                <w:rFonts w:ascii="Calibri" w:hAnsi="Calibri" w:cs="Calibri"/>
                <w:b/>
                <w:bCs/>
                <w:sz w:val="16"/>
                <w:szCs w:val="16"/>
                <w:lang w:eastAsia="ja-JP"/>
              </w:rPr>
            </w:pPr>
            <w:r w:rsidRPr="007773A4">
              <w:rPr>
                <w:rFonts w:ascii="Calibri" w:hAnsi="Calibri" w:cs="Calibri"/>
                <w:b/>
                <w:bCs/>
                <w:sz w:val="16"/>
                <w:szCs w:val="16"/>
                <w:lang w:eastAsia="ja-JP"/>
              </w:rPr>
              <w:t>2022</w:t>
            </w:r>
          </w:p>
        </w:tc>
        <w:tc>
          <w:tcPr>
            <w:tcW w:w="627" w:type="pct"/>
            <w:tcBorders>
              <w:top w:val="single" w:sz="8" w:space="0" w:color="auto"/>
              <w:left w:val="nil"/>
              <w:bottom w:val="single" w:sz="8" w:space="0" w:color="auto"/>
              <w:right w:val="single" w:sz="8" w:space="0" w:color="auto"/>
            </w:tcBorders>
            <w:shd w:val="clear" w:color="auto" w:fill="auto"/>
            <w:vAlign w:val="center"/>
            <w:hideMark/>
          </w:tcPr>
          <w:p w14:paraId="383C906D" w14:textId="77777777" w:rsidR="007773A4" w:rsidRPr="007773A4" w:rsidRDefault="007773A4" w:rsidP="007773A4">
            <w:pPr>
              <w:jc w:val="center"/>
              <w:rPr>
                <w:rFonts w:ascii="Calibri" w:hAnsi="Calibri" w:cs="Calibri"/>
                <w:b/>
                <w:bCs/>
                <w:sz w:val="16"/>
                <w:szCs w:val="16"/>
                <w:lang w:eastAsia="ja-JP"/>
              </w:rPr>
            </w:pPr>
            <w:r w:rsidRPr="007773A4">
              <w:rPr>
                <w:rFonts w:ascii="Calibri" w:hAnsi="Calibri" w:cs="Calibri"/>
                <w:b/>
                <w:bCs/>
                <w:sz w:val="16"/>
                <w:szCs w:val="16"/>
                <w:lang w:eastAsia="ja-JP"/>
              </w:rPr>
              <w:t>2023</w:t>
            </w:r>
          </w:p>
        </w:tc>
      </w:tr>
      <w:tr w:rsidR="007773A4" w:rsidRPr="007773A4" w14:paraId="06D752EC" w14:textId="77777777" w:rsidTr="007773A4">
        <w:trPr>
          <w:trHeight w:val="97"/>
          <w:tblHeader/>
        </w:trPr>
        <w:tc>
          <w:tcPr>
            <w:tcW w:w="862" w:type="pct"/>
            <w:vMerge/>
            <w:tcBorders>
              <w:top w:val="single" w:sz="8" w:space="0" w:color="auto"/>
              <w:left w:val="single" w:sz="8" w:space="0" w:color="auto"/>
              <w:bottom w:val="single" w:sz="8" w:space="0" w:color="000000"/>
              <w:right w:val="single" w:sz="8" w:space="0" w:color="auto"/>
            </w:tcBorders>
            <w:vAlign w:val="center"/>
            <w:hideMark/>
          </w:tcPr>
          <w:p w14:paraId="142AA46B" w14:textId="77777777" w:rsidR="007773A4" w:rsidRPr="007773A4" w:rsidRDefault="007773A4" w:rsidP="007773A4">
            <w:pPr>
              <w:rPr>
                <w:rFonts w:ascii="Calibri" w:hAnsi="Calibri" w:cs="Calibri"/>
                <w:sz w:val="16"/>
                <w:szCs w:val="16"/>
                <w:lang w:eastAsia="ja-JP"/>
              </w:rPr>
            </w:pPr>
          </w:p>
        </w:tc>
        <w:tc>
          <w:tcPr>
            <w:tcW w:w="795" w:type="pct"/>
            <w:tcBorders>
              <w:top w:val="nil"/>
              <w:left w:val="nil"/>
              <w:bottom w:val="single" w:sz="8" w:space="0" w:color="auto"/>
              <w:right w:val="single" w:sz="8" w:space="0" w:color="auto"/>
            </w:tcBorders>
            <w:shd w:val="clear" w:color="auto" w:fill="auto"/>
            <w:vAlign w:val="center"/>
            <w:hideMark/>
          </w:tcPr>
          <w:p w14:paraId="42F260D5" w14:textId="77777777" w:rsidR="007773A4" w:rsidRPr="007773A4" w:rsidRDefault="007773A4" w:rsidP="007773A4">
            <w:pPr>
              <w:jc w:val="center"/>
              <w:rPr>
                <w:rFonts w:ascii="Calibri" w:hAnsi="Calibri" w:cs="Calibri"/>
                <w:b/>
                <w:bCs/>
                <w:sz w:val="16"/>
                <w:szCs w:val="16"/>
                <w:lang w:eastAsia="ja-JP"/>
              </w:rPr>
            </w:pPr>
            <w:r w:rsidRPr="007773A4">
              <w:rPr>
                <w:rFonts w:ascii="Calibri" w:hAnsi="Calibri" w:cs="Calibri"/>
                <w:b/>
                <w:bCs/>
                <w:sz w:val="16"/>
                <w:szCs w:val="16"/>
                <w:lang w:eastAsia="ja-JP"/>
              </w:rPr>
              <w:t>September</w:t>
            </w:r>
          </w:p>
        </w:tc>
        <w:tc>
          <w:tcPr>
            <w:tcW w:w="729" w:type="pct"/>
            <w:tcBorders>
              <w:top w:val="nil"/>
              <w:left w:val="nil"/>
              <w:bottom w:val="single" w:sz="8" w:space="0" w:color="auto"/>
              <w:right w:val="single" w:sz="8" w:space="0" w:color="auto"/>
            </w:tcBorders>
            <w:shd w:val="clear" w:color="auto" w:fill="auto"/>
            <w:vAlign w:val="center"/>
            <w:hideMark/>
          </w:tcPr>
          <w:p w14:paraId="67799B8D" w14:textId="77777777" w:rsidR="007773A4" w:rsidRPr="007773A4" w:rsidRDefault="007773A4" w:rsidP="007773A4">
            <w:pPr>
              <w:jc w:val="center"/>
              <w:rPr>
                <w:rFonts w:ascii="Calibri" w:hAnsi="Calibri" w:cs="Calibri"/>
                <w:b/>
                <w:bCs/>
                <w:sz w:val="16"/>
                <w:szCs w:val="16"/>
                <w:lang w:eastAsia="ja-JP"/>
              </w:rPr>
            </w:pPr>
            <w:r w:rsidRPr="007773A4">
              <w:rPr>
                <w:rFonts w:ascii="Calibri" w:hAnsi="Calibri" w:cs="Calibri"/>
                <w:b/>
                <w:bCs/>
                <w:sz w:val="16"/>
                <w:szCs w:val="16"/>
                <w:lang w:eastAsia="ja-JP"/>
              </w:rPr>
              <w:t>June</w:t>
            </w:r>
          </w:p>
        </w:tc>
        <w:tc>
          <w:tcPr>
            <w:tcW w:w="730" w:type="pct"/>
            <w:tcBorders>
              <w:top w:val="nil"/>
              <w:left w:val="nil"/>
              <w:bottom w:val="single" w:sz="8" w:space="0" w:color="auto"/>
              <w:right w:val="single" w:sz="8" w:space="0" w:color="auto"/>
            </w:tcBorders>
            <w:shd w:val="clear" w:color="auto" w:fill="auto"/>
            <w:vAlign w:val="center"/>
            <w:hideMark/>
          </w:tcPr>
          <w:p w14:paraId="3F5157B3" w14:textId="77777777" w:rsidR="007773A4" w:rsidRPr="007773A4" w:rsidRDefault="007773A4" w:rsidP="007773A4">
            <w:pPr>
              <w:jc w:val="center"/>
              <w:rPr>
                <w:rFonts w:ascii="Calibri" w:hAnsi="Calibri" w:cs="Calibri"/>
                <w:b/>
                <w:bCs/>
                <w:sz w:val="16"/>
                <w:szCs w:val="16"/>
                <w:lang w:eastAsia="ja-JP"/>
              </w:rPr>
            </w:pPr>
            <w:r w:rsidRPr="007773A4">
              <w:rPr>
                <w:rFonts w:ascii="Calibri" w:hAnsi="Calibri" w:cs="Calibri"/>
                <w:b/>
                <w:bCs/>
                <w:sz w:val="16"/>
                <w:szCs w:val="16"/>
                <w:lang w:eastAsia="ja-JP"/>
              </w:rPr>
              <w:t>November</w:t>
            </w:r>
          </w:p>
        </w:tc>
        <w:tc>
          <w:tcPr>
            <w:tcW w:w="628" w:type="pct"/>
            <w:tcBorders>
              <w:top w:val="nil"/>
              <w:left w:val="nil"/>
              <w:bottom w:val="single" w:sz="8" w:space="0" w:color="auto"/>
              <w:right w:val="single" w:sz="8" w:space="0" w:color="auto"/>
            </w:tcBorders>
            <w:shd w:val="clear" w:color="auto" w:fill="auto"/>
            <w:vAlign w:val="center"/>
            <w:hideMark/>
          </w:tcPr>
          <w:p w14:paraId="2E9E41F3" w14:textId="77777777" w:rsidR="007773A4" w:rsidRPr="007773A4" w:rsidRDefault="007773A4" w:rsidP="007773A4">
            <w:pPr>
              <w:jc w:val="center"/>
              <w:rPr>
                <w:rFonts w:ascii="Calibri" w:hAnsi="Calibri" w:cs="Calibri"/>
                <w:b/>
                <w:bCs/>
                <w:sz w:val="16"/>
                <w:szCs w:val="16"/>
                <w:lang w:eastAsia="ja-JP"/>
              </w:rPr>
            </w:pPr>
            <w:r w:rsidRPr="007773A4">
              <w:rPr>
                <w:rFonts w:ascii="Calibri" w:hAnsi="Calibri" w:cs="Calibri"/>
                <w:b/>
                <w:bCs/>
                <w:sz w:val="16"/>
                <w:szCs w:val="16"/>
                <w:lang w:eastAsia="ja-JP"/>
              </w:rPr>
              <w:t>June</w:t>
            </w:r>
          </w:p>
        </w:tc>
        <w:tc>
          <w:tcPr>
            <w:tcW w:w="629" w:type="pct"/>
            <w:tcBorders>
              <w:top w:val="nil"/>
              <w:left w:val="nil"/>
              <w:bottom w:val="single" w:sz="8" w:space="0" w:color="auto"/>
              <w:right w:val="single" w:sz="8" w:space="0" w:color="auto"/>
            </w:tcBorders>
            <w:shd w:val="clear" w:color="auto" w:fill="auto"/>
            <w:vAlign w:val="center"/>
            <w:hideMark/>
          </w:tcPr>
          <w:p w14:paraId="0854CB8A" w14:textId="77777777" w:rsidR="007773A4" w:rsidRPr="007773A4" w:rsidRDefault="007773A4" w:rsidP="007773A4">
            <w:pPr>
              <w:jc w:val="center"/>
              <w:rPr>
                <w:rFonts w:ascii="Calibri" w:hAnsi="Calibri" w:cs="Calibri"/>
                <w:b/>
                <w:bCs/>
                <w:sz w:val="16"/>
                <w:szCs w:val="16"/>
                <w:lang w:eastAsia="ja-JP"/>
              </w:rPr>
            </w:pPr>
            <w:r w:rsidRPr="007773A4">
              <w:rPr>
                <w:rFonts w:ascii="Calibri" w:hAnsi="Calibri" w:cs="Calibri"/>
                <w:b/>
                <w:bCs/>
                <w:sz w:val="16"/>
                <w:szCs w:val="16"/>
                <w:lang w:eastAsia="ja-JP"/>
              </w:rPr>
              <w:t>November</w:t>
            </w:r>
          </w:p>
        </w:tc>
        <w:tc>
          <w:tcPr>
            <w:tcW w:w="627" w:type="pct"/>
            <w:tcBorders>
              <w:top w:val="nil"/>
              <w:left w:val="nil"/>
              <w:bottom w:val="single" w:sz="8" w:space="0" w:color="auto"/>
              <w:right w:val="single" w:sz="8" w:space="0" w:color="auto"/>
            </w:tcBorders>
            <w:shd w:val="clear" w:color="auto" w:fill="auto"/>
            <w:vAlign w:val="center"/>
            <w:hideMark/>
          </w:tcPr>
          <w:p w14:paraId="381132D1" w14:textId="77777777" w:rsidR="007773A4" w:rsidRPr="007773A4" w:rsidRDefault="007773A4" w:rsidP="007773A4">
            <w:pPr>
              <w:jc w:val="center"/>
              <w:rPr>
                <w:rFonts w:ascii="Calibri" w:hAnsi="Calibri" w:cs="Calibri"/>
                <w:b/>
                <w:bCs/>
                <w:sz w:val="16"/>
                <w:szCs w:val="16"/>
                <w:lang w:eastAsia="ja-JP"/>
              </w:rPr>
            </w:pPr>
            <w:r w:rsidRPr="007773A4">
              <w:rPr>
                <w:rFonts w:ascii="Calibri" w:hAnsi="Calibri" w:cs="Calibri"/>
                <w:b/>
                <w:bCs/>
                <w:sz w:val="16"/>
                <w:szCs w:val="16"/>
                <w:lang w:eastAsia="ja-JP"/>
              </w:rPr>
              <w:t>June</w:t>
            </w:r>
          </w:p>
        </w:tc>
      </w:tr>
      <w:tr w:rsidR="007773A4" w:rsidRPr="007773A4" w14:paraId="5B2EF85F" w14:textId="77777777" w:rsidTr="007773A4">
        <w:trPr>
          <w:trHeight w:val="2020"/>
        </w:trPr>
        <w:tc>
          <w:tcPr>
            <w:tcW w:w="862" w:type="pct"/>
            <w:tcBorders>
              <w:top w:val="nil"/>
              <w:left w:val="single" w:sz="8" w:space="0" w:color="auto"/>
              <w:bottom w:val="single" w:sz="8" w:space="0" w:color="auto"/>
              <w:right w:val="single" w:sz="8" w:space="0" w:color="auto"/>
            </w:tcBorders>
            <w:shd w:val="clear" w:color="auto" w:fill="auto"/>
            <w:hideMark/>
          </w:tcPr>
          <w:p w14:paraId="0D94D6CB" w14:textId="77777777" w:rsidR="007773A4" w:rsidRPr="007773A4" w:rsidRDefault="007773A4" w:rsidP="007773A4">
            <w:pPr>
              <w:rPr>
                <w:rFonts w:ascii="Calibri" w:hAnsi="Calibri" w:cs="Calibri"/>
                <w:b/>
                <w:bCs/>
                <w:sz w:val="16"/>
                <w:szCs w:val="16"/>
                <w:lang w:eastAsia="ja-JP"/>
              </w:rPr>
            </w:pPr>
            <w:r w:rsidRPr="007773A4">
              <w:rPr>
                <w:rFonts w:ascii="Calibri" w:hAnsi="Calibri" w:cs="Calibri"/>
                <w:b/>
                <w:bCs/>
                <w:sz w:val="16"/>
                <w:szCs w:val="16"/>
                <w:lang w:eastAsia="ja-JP"/>
              </w:rPr>
              <w:t xml:space="preserve">6. </w:t>
            </w:r>
            <w:r w:rsidRPr="007773A4">
              <w:rPr>
                <w:rFonts w:ascii="Calibri" w:hAnsi="Calibri" w:cs="Calibri"/>
                <w:b/>
                <w:bCs/>
                <w:noProof/>
                <w:sz w:val="16"/>
                <w:szCs w:val="16"/>
              </w:rPr>
              <w:t>Strengthen FMS resource management systems for service delivery</w:t>
            </w:r>
            <w:r w:rsidRPr="007773A4">
              <w:rPr>
                <w:rFonts w:ascii="Calibri" w:hAnsi="Calibri" w:cs="Calibri"/>
                <w:b/>
                <w:bCs/>
                <w:sz w:val="16"/>
                <w:szCs w:val="16"/>
                <w:lang w:eastAsia="ja-JP"/>
              </w:rPr>
              <w:t xml:space="preserve">: </w:t>
            </w:r>
            <w:r w:rsidRPr="007773A4">
              <w:rPr>
                <w:rFonts w:ascii="Calibri" w:hAnsi="Calibri" w:cs="Calibri"/>
                <w:sz w:val="16"/>
                <w:szCs w:val="16"/>
                <w:lang w:eastAsia="ja-JP"/>
              </w:rPr>
              <w:t>Nascent systems for PFM in early stages of establishment. Expenditures focused on public administration and security with low allocation and execution of funds for assigned education and health service delivery functions.</w:t>
            </w:r>
          </w:p>
        </w:tc>
        <w:tc>
          <w:tcPr>
            <w:tcW w:w="795" w:type="pct"/>
            <w:tcBorders>
              <w:top w:val="nil"/>
              <w:left w:val="nil"/>
              <w:bottom w:val="single" w:sz="8" w:space="0" w:color="auto"/>
              <w:right w:val="single" w:sz="8" w:space="0" w:color="auto"/>
            </w:tcBorders>
            <w:shd w:val="clear" w:color="auto" w:fill="auto"/>
            <w:hideMark/>
          </w:tcPr>
          <w:p w14:paraId="2200DFEC" w14:textId="22BF4D54" w:rsidR="007773A4" w:rsidRPr="007773A4" w:rsidRDefault="007773A4" w:rsidP="007773A4">
            <w:pPr>
              <w:rPr>
                <w:rFonts w:ascii="Calibri" w:hAnsi="Calibri" w:cs="Calibri"/>
                <w:sz w:val="16"/>
                <w:szCs w:val="16"/>
                <w:lang w:eastAsia="ja-JP"/>
              </w:rPr>
            </w:pPr>
          </w:p>
        </w:tc>
        <w:tc>
          <w:tcPr>
            <w:tcW w:w="729" w:type="pct"/>
            <w:tcBorders>
              <w:top w:val="nil"/>
              <w:left w:val="nil"/>
              <w:bottom w:val="single" w:sz="8" w:space="0" w:color="auto"/>
              <w:right w:val="single" w:sz="8" w:space="0" w:color="auto"/>
            </w:tcBorders>
            <w:shd w:val="clear" w:color="auto" w:fill="auto"/>
            <w:hideMark/>
          </w:tcPr>
          <w:p w14:paraId="169B20BA" w14:textId="77777777" w:rsidR="007773A4" w:rsidRPr="007773A4" w:rsidRDefault="007773A4" w:rsidP="007773A4">
            <w:pPr>
              <w:rPr>
                <w:rFonts w:ascii="Calibri" w:hAnsi="Calibri" w:cs="Calibri"/>
                <w:sz w:val="16"/>
                <w:szCs w:val="16"/>
                <w:lang w:eastAsia="ja-JP"/>
              </w:rPr>
            </w:pPr>
            <w:r w:rsidRPr="007773A4">
              <w:rPr>
                <w:rFonts w:ascii="Calibri" w:hAnsi="Calibri" w:cs="Calibri"/>
                <w:sz w:val="16"/>
                <w:szCs w:val="16"/>
                <w:lang w:eastAsia="ja-JP"/>
              </w:rPr>
              <w:t>6.2. The FMS have: (i) signed with FGS an updated Service Delivery Transfer Agreements (2021); and (ii) approved budgetary appropriations for FY 2021 allocating a net aggregate budgetary increase for their respective MoHs and MoEs equal to the aggregated Allocated Amounts for PBCs #6.2; #6.3; #8.1 and #8.2.</w:t>
            </w:r>
          </w:p>
        </w:tc>
        <w:tc>
          <w:tcPr>
            <w:tcW w:w="730" w:type="pct"/>
            <w:tcBorders>
              <w:top w:val="nil"/>
              <w:left w:val="nil"/>
              <w:bottom w:val="single" w:sz="8" w:space="0" w:color="auto"/>
              <w:right w:val="single" w:sz="8" w:space="0" w:color="auto"/>
            </w:tcBorders>
            <w:shd w:val="clear" w:color="auto" w:fill="auto"/>
            <w:hideMark/>
          </w:tcPr>
          <w:p w14:paraId="584337B1" w14:textId="77777777" w:rsidR="007773A4" w:rsidRPr="007773A4" w:rsidRDefault="007773A4" w:rsidP="007773A4">
            <w:pPr>
              <w:rPr>
                <w:rFonts w:ascii="Calibri" w:hAnsi="Calibri" w:cs="Calibri"/>
                <w:sz w:val="16"/>
                <w:szCs w:val="16"/>
                <w:lang w:eastAsia="ja-JP"/>
              </w:rPr>
            </w:pPr>
            <w:r w:rsidRPr="007773A4">
              <w:rPr>
                <w:rFonts w:ascii="Calibri" w:hAnsi="Calibri" w:cs="Calibri"/>
                <w:sz w:val="16"/>
                <w:szCs w:val="16"/>
                <w:lang w:eastAsia="ja-JP"/>
              </w:rPr>
              <w:t>6.3. The FMS have: (i)  issued their respective implementation and financial reports on the use of federal (service) transfers covering FY 2020 and  th</w:t>
            </w:r>
            <w:r w:rsidRPr="007773A4">
              <w:rPr>
                <w:rFonts w:ascii="Calibri" w:hAnsi="Calibri" w:cs="Calibri"/>
                <w:sz w:val="16"/>
                <w:szCs w:val="16"/>
                <w:vertAlign w:val="superscript"/>
                <w:lang w:eastAsia="ja-JP"/>
              </w:rPr>
              <w:t xml:space="preserve">e </w:t>
            </w:r>
            <w:r w:rsidRPr="007773A4">
              <w:rPr>
                <w:rFonts w:ascii="Calibri" w:hAnsi="Calibri" w:cs="Calibri"/>
                <w:sz w:val="16"/>
                <w:szCs w:val="16"/>
                <w:lang w:eastAsia="ja-JP"/>
              </w:rPr>
              <w:t>1st half of FY 2021 in line with provisions Service Delivery Transfer Agreements demonstrating release of funds to MoHs and MoEs; and (ii) submitted the same to  MoF.</w:t>
            </w:r>
          </w:p>
        </w:tc>
        <w:tc>
          <w:tcPr>
            <w:tcW w:w="628" w:type="pct"/>
            <w:tcBorders>
              <w:top w:val="nil"/>
              <w:left w:val="nil"/>
              <w:bottom w:val="single" w:sz="8" w:space="0" w:color="auto"/>
              <w:right w:val="single" w:sz="8" w:space="0" w:color="auto"/>
            </w:tcBorders>
            <w:shd w:val="clear" w:color="auto" w:fill="auto"/>
            <w:hideMark/>
          </w:tcPr>
          <w:p w14:paraId="25BC5D04" w14:textId="77777777" w:rsidR="007773A4" w:rsidRPr="007773A4" w:rsidRDefault="007773A4" w:rsidP="007773A4">
            <w:pPr>
              <w:rPr>
                <w:rFonts w:ascii="Calibri" w:hAnsi="Calibri" w:cs="Calibri"/>
                <w:sz w:val="16"/>
                <w:szCs w:val="16"/>
                <w:lang w:eastAsia="ja-JP"/>
              </w:rPr>
            </w:pPr>
            <w:r w:rsidRPr="007773A4">
              <w:rPr>
                <w:rFonts w:ascii="Calibri" w:hAnsi="Calibri" w:cs="Calibri"/>
                <w:sz w:val="16"/>
                <w:szCs w:val="16"/>
                <w:lang w:eastAsia="ja-JP"/>
              </w:rPr>
              <w:t>6.4. The FMS have: (i) signed with FGS an updated Service Delivery Transfer Agreements (2022); and (ii) approved budgetary appropriations for FY 2022 allocating a net aggregate budgetary increase for education and health sectors equal to the aggregated Allocated Amounts for PBCs #6.4; #6.5; #7.2.</w:t>
            </w:r>
          </w:p>
        </w:tc>
        <w:tc>
          <w:tcPr>
            <w:tcW w:w="629" w:type="pct"/>
            <w:tcBorders>
              <w:top w:val="nil"/>
              <w:left w:val="nil"/>
              <w:bottom w:val="single" w:sz="8" w:space="0" w:color="auto"/>
              <w:right w:val="single" w:sz="8" w:space="0" w:color="auto"/>
            </w:tcBorders>
            <w:shd w:val="clear" w:color="auto" w:fill="auto"/>
            <w:hideMark/>
          </w:tcPr>
          <w:p w14:paraId="46492284" w14:textId="77777777" w:rsidR="007773A4" w:rsidRPr="007773A4" w:rsidRDefault="007773A4" w:rsidP="007773A4">
            <w:pPr>
              <w:rPr>
                <w:rFonts w:ascii="Calibri" w:hAnsi="Calibri" w:cs="Calibri"/>
                <w:sz w:val="16"/>
                <w:szCs w:val="16"/>
                <w:lang w:eastAsia="ja-JP"/>
              </w:rPr>
            </w:pPr>
            <w:r w:rsidRPr="007773A4">
              <w:rPr>
                <w:rFonts w:ascii="Calibri" w:hAnsi="Calibri" w:cs="Calibri"/>
                <w:sz w:val="16"/>
                <w:szCs w:val="16"/>
                <w:lang w:eastAsia="ja-JP"/>
              </w:rPr>
              <w:t>6.5. The FMS have: (i)  issued their respective implementation and financial reports on the use of federal (service) transfers covering FY 2021 and  th</w:t>
            </w:r>
            <w:r w:rsidRPr="007773A4">
              <w:rPr>
                <w:rFonts w:ascii="Calibri" w:hAnsi="Calibri" w:cs="Calibri"/>
                <w:sz w:val="16"/>
                <w:szCs w:val="16"/>
                <w:vertAlign w:val="superscript"/>
                <w:lang w:eastAsia="ja-JP"/>
              </w:rPr>
              <w:t xml:space="preserve">e </w:t>
            </w:r>
            <w:r w:rsidRPr="007773A4">
              <w:rPr>
                <w:rFonts w:ascii="Calibri" w:hAnsi="Calibri" w:cs="Calibri"/>
                <w:sz w:val="16"/>
                <w:szCs w:val="16"/>
                <w:lang w:eastAsia="ja-JP"/>
              </w:rPr>
              <w:t>1st half of FY 2022 in line with provisions Service Delivery Transfer Agreements demonstrating release of funds to MoHs and MoEs; and (ii) submitted the same to MoF.</w:t>
            </w:r>
          </w:p>
        </w:tc>
        <w:tc>
          <w:tcPr>
            <w:tcW w:w="627" w:type="pct"/>
            <w:tcBorders>
              <w:top w:val="nil"/>
              <w:left w:val="nil"/>
              <w:bottom w:val="single" w:sz="8" w:space="0" w:color="auto"/>
              <w:right w:val="single" w:sz="8" w:space="0" w:color="auto"/>
            </w:tcBorders>
            <w:shd w:val="clear" w:color="auto" w:fill="auto"/>
            <w:hideMark/>
          </w:tcPr>
          <w:p w14:paraId="7EBE0767" w14:textId="77777777" w:rsidR="007773A4" w:rsidRPr="007773A4" w:rsidRDefault="007773A4" w:rsidP="007773A4">
            <w:pPr>
              <w:rPr>
                <w:rFonts w:ascii="Calibri" w:hAnsi="Calibri" w:cs="Calibri"/>
                <w:sz w:val="16"/>
                <w:szCs w:val="16"/>
                <w:lang w:eastAsia="ja-JP"/>
              </w:rPr>
            </w:pPr>
            <w:r w:rsidRPr="007773A4">
              <w:rPr>
                <w:rFonts w:ascii="Calibri" w:hAnsi="Calibri" w:cs="Calibri"/>
                <w:sz w:val="16"/>
                <w:szCs w:val="16"/>
                <w:lang w:eastAsia="ja-JP"/>
              </w:rPr>
              <w:t xml:space="preserve">6.6. The FMS have: (i) signed with FGS an updated Service Delivery Transfer Agreements (2023); and (ii) approved budgetary appropriations for FY 2023 allocating a net aggregate budgetary increase for education and health sectors equal to the aggregated Allocated Amounts for PBCs #6.6; #7.4 and #8.5. </w:t>
            </w:r>
          </w:p>
        </w:tc>
      </w:tr>
      <w:tr w:rsidR="007773A4" w:rsidRPr="007773A4" w14:paraId="3C804969" w14:textId="77777777" w:rsidTr="007773A4">
        <w:trPr>
          <w:trHeight w:val="300"/>
        </w:trPr>
        <w:tc>
          <w:tcPr>
            <w:tcW w:w="862" w:type="pct"/>
            <w:tcBorders>
              <w:top w:val="nil"/>
              <w:left w:val="single" w:sz="8" w:space="0" w:color="auto"/>
              <w:bottom w:val="single" w:sz="8" w:space="0" w:color="auto"/>
              <w:right w:val="single" w:sz="8" w:space="0" w:color="auto"/>
            </w:tcBorders>
            <w:shd w:val="clear" w:color="000000" w:fill="F2F2F2"/>
            <w:vAlign w:val="center"/>
            <w:hideMark/>
          </w:tcPr>
          <w:p w14:paraId="33FB3B64"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5.6</w:t>
            </w:r>
          </w:p>
        </w:tc>
        <w:tc>
          <w:tcPr>
            <w:tcW w:w="795" w:type="pct"/>
            <w:tcBorders>
              <w:top w:val="nil"/>
              <w:left w:val="nil"/>
              <w:bottom w:val="single" w:sz="8" w:space="0" w:color="auto"/>
              <w:right w:val="single" w:sz="8" w:space="0" w:color="auto"/>
            </w:tcBorders>
            <w:shd w:val="clear" w:color="000000" w:fill="F2F2F2"/>
            <w:vAlign w:val="center"/>
            <w:hideMark/>
          </w:tcPr>
          <w:p w14:paraId="48222DDD"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2.5</w:t>
            </w:r>
          </w:p>
        </w:tc>
        <w:tc>
          <w:tcPr>
            <w:tcW w:w="729" w:type="pct"/>
            <w:tcBorders>
              <w:top w:val="nil"/>
              <w:left w:val="nil"/>
              <w:bottom w:val="single" w:sz="8" w:space="0" w:color="auto"/>
              <w:right w:val="single" w:sz="8" w:space="0" w:color="auto"/>
            </w:tcBorders>
            <w:shd w:val="clear" w:color="000000" w:fill="F2F2F2"/>
            <w:vAlign w:val="center"/>
            <w:hideMark/>
          </w:tcPr>
          <w:p w14:paraId="62465C83"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0.6</w:t>
            </w:r>
          </w:p>
        </w:tc>
        <w:tc>
          <w:tcPr>
            <w:tcW w:w="730" w:type="pct"/>
            <w:tcBorders>
              <w:top w:val="nil"/>
              <w:left w:val="nil"/>
              <w:bottom w:val="single" w:sz="8" w:space="0" w:color="auto"/>
              <w:right w:val="single" w:sz="8" w:space="0" w:color="auto"/>
            </w:tcBorders>
            <w:shd w:val="clear" w:color="000000" w:fill="F2F2F2"/>
            <w:vAlign w:val="center"/>
            <w:hideMark/>
          </w:tcPr>
          <w:p w14:paraId="4057F6A4"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0.6</w:t>
            </w:r>
          </w:p>
        </w:tc>
        <w:tc>
          <w:tcPr>
            <w:tcW w:w="628" w:type="pct"/>
            <w:tcBorders>
              <w:top w:val="nil"/>
              <w:left w:val="nil"/>
              <w:bottom w:val="single" w:sz="8" w:space="0" w:color="auto"/>
              <w:right w:val="single" w:sz="8" w:space="0" w:color="auto"/>
            </w:tcBorders>
            <w:shd w:val="clear" w:color="000000" w:fill="F2F2F2"/>
            <w:vAlign w:val="center"/>
            <w:hideMark/>
          </w:tcPr>
          <w:p w14:paraId="099DBE62"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1.0</w:t>
            </w:r>
          </w:p>
        </w:tc>
        <w:tc>
          <w:tcPr>
            <w:tcW w:w="629" w:type="pct"/>
            <w:tcBorders>
              <w:top w:val="nil"/>
              <w:left w:val="nil"/>
              <w:bottom w:val="single" w:sz="8" w:space="0" w:color="auto"/>
              <w:right w:val="single" w:sz="8" w:space="0" w:color="auto"/>
            </w:tcBorders>
            <w:shd w:val="clear" w:color="000000" w:fill="F2F2F2"/>
            <w:vAlign w:val="center"/>
            <w:hideMark/>
          </w:tcPr>
          <w:p w14:paraId="039D700D"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1.0</w:t>
            </w:r>
          </w:p>
        </w:tc>
        <w:tc>
          <w:tcPr>
            <w:tcW w:w="627" w:type="pct"/>
            <w:tcBorders>
              <w:top w:val="nil"/>
              <w:left w:val="nil"/>
              <w:bottom w:val="single" w:sz="8" w:space="0" w:color="auto"/>
              <w:right w:val="single" w:sz="8" w:space="0" w:color="auto"/>
            </w:tcBorders>
            <w:shd w:val="clear" w:color="000000" w:fill="F2F2F2"/>
            <w:vAlign w:val="center"/>
            <w:hideMark/>
          </w:tcPr>
          <w:p w14:paraId="49E049E9"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0.6</w:t>
            </w:r>
          </w:p>
        </w:tc>
      </w:tr>
      <w:tr w:rsidR="007773A4" w:rsidRPr="007773A4" w14:paraId="3078B59D" w14:textId="77777777" w:rsidTr="007773A4">
        <w:trPr>
          <w:trHeight w:val="1360"/>
        </w:trPr>
        <w:tc>
          <w:tcPr>
            <w:tcW w:w="862" w:type="pct"/>
            <w:tcBorders>
              <w:top w:val="nil"/>
              <w:left w:val="single" w:sz="8" w:space="0" w:color="auto"/>
              <w:bottom w:val="single" w:sz="8" w:space="0" w:color="auto"/>
              <w:right w:val="single" w:sz="8" w:space="0" w:color="auto"/>
            </w:tcBorders>
            <w:shd w:val="clear" w:color="auto" w:fill="auto"/>
            <w:hideMark/>
          </w:tcPr>
          <w:p w14:paraId="208D0BDA" w14:textId="77777777" w:rsidR="007773A4" w:rsidRPr="007773A4" w:rsidRDefault="007773A4" w:rsidP="007773A4">
            <w:pPr>
              <w:rPr>
                <w:rFonts w:ascii="Calibri" w:hAnsi="Calibri" w:cs="Calibri"/>
                <w:b/>
                <w:bCs/>
                <w:sz w:val="16"/>
                <w:szCs w:val="16"/>
                <w:lang w:eastAsia="ja-JP"/>
              </w:rPr>
            </w:pPr>
            <w:r w:rsidRPr="007773A4">
              <w:rPr>
                <w:rFonts w:ascii="Calibri" w:hAnsi="Calibri" w:cs="Calibri"/>
                <w:b/>
                <w:bCs/>
                <w:sz w:val="16"/>
                <w:szCs w:val="16"/>
                <w:lang w:eastAsia="ja-JP"/>
              </w:rPr>
              <w:t xml:space="preserve">7. Strengthen education service delivery: </w:t>
            </w:r>
            <w:r w:rsidRPr="007773A4">
              <w:rPr>
                <w:rFonts w:ascii="Calibri" w:hAnsi="Calibri" w:cs="Calibri"/>
                <w:sz w:val="16"/>
                <w:szCs w:val="16"/>
                <w:lang w:eastAsia="ja-JP"/>
              </w:rPr>
              <w:t>Limited tools to enable Government to improved educational quality at school level. Limited funds available to support service delivery at school level.</w:t>
            </w:r>
          </w:p>
        </w:tc>
        <w:tc>
          <w:tcPr>
            <w:tcW w:w="795" w:type="pct"/>
            <w:tcBorders>
              <w:top w:val="nil"/>
              <w:left w:val="nil"/>
              <w:bottom w:val="single" w:sz="8" w:space="0" w:color="auto"/>
              <w:right w:val="single" w:sz="8" w:space="0" w:color="auto"/>
            </w:tcBorders>
            <w:shd w:val="clear" w:color="auto" w:fill="auto"/>
            <w:hideMark/>
          </w:tcPr>
          <w:p w14:paraId="5E0C6157" w14:textId="77777777" w:rsidR="007773A4" w:rsidRPr="007773A4" w:rsidRDefault="007773A4" w:rsidP="007773A4">
            <w:pPr>
              <w:rPr>
                <w:rFonts w:ascii="Calibri" w:hAnsi="Calibri" w:cs="Calibri"/>
                <w:sz w:val="16"/>
                <w:szCs w:val="16"/>
                <w:lang w:eastAsia="ja-JP"/>
              </w:rPr>
            </w:pPr>
            <w:r w:rsidRPr="007773A4">
              <w:rPr>
                <w:rFonts w:ascii="Calibri" w:hAnsi="Calibri" w:cs="Calibri"/>
                <w:sz w:val="16"/>
                <w:szCs w:val="16"/>
                <w:lang w:eastAsia="ja-JP"/>
              </w:rPr>
              <w:t> </w:t>
            </w:r>
          </w:p>
        </w:tc>
        <w:tc>
          <w:tcPr>
            <w:tcW w:w="729" w:type="pct"/>
            <w:tcBorders>
              <w:top w:val="nil"/>
              <w:left w:val="nil"/>
              <w:bottom w:val="single" w:sz="8" w:space="0" w:color="auto"/>
              <w:right w:val="single" w:sz="8" w:space="0" w:color="auto"/>
            </w:tcBorders>
            <w:shd w:val="clear" w:color="auto" w:fill="auto"/>
          </w:tcPr>
          <w:p w14:paraId="1BFF3AD2" w14:textId="77777777" w:rsidR="007773A4" w:rsidRPr="007773A4" w:rsidRDefault="007773A4" w:rsidP="007773A4">
            <w:pPr>
              <w:rPr>
                <w:rFonts w:ascii="Calibri" w:hAnsi="Calibri" w:cs="Calibri"/>
                <w:sz w:val="16"/>
                <w:szCs w:val="16"/>
                <w:lang w:eastAsia="ja-JP"/>
              </w:rPr>
            </w:pPr>
          </w:p>
        </w:tc>
        <w:tc>
          <w:tcPr>
            <w:tcW w:w="730" w:type="pct"/>
            <w:tcBorders>
              <w:top w:val="nil"/>
              <w:left w:val="nil"/>
              <w:bottom w:val="single" w:sz="8" w:space="0" w:color="auto"/>
              <w:right w:val="single" w:sz="8" w:space="0" w:color="auto"/>
            </w:tcBorders>
            <w:shd w:val="clear" w:color="auto" w:fill="auto"/>
            <w:hideMark/>
          </w:tcPr>
          <w:p w14:paraId="29805991" w14:textId="77777777" w:rsidR="007773A4" w:rsidRPr="007773A4" w:rsidRDefault="007773A4" w:rsidP="007773A4">
            <w:pPr>
              <w:rPr>
                <w:rFonts w:ascii="Calibri" w:hAnsi="Calibri" w:cs="Calibri"/>
                <w:sz w:val="16"/>
                <w:szCs w:val="16"/>
                <w:lang w:eastAsia="ja-JP"/>
              </w:rPr>
            </w:pPr>
            <w:r w:rsidRPr="007773A4">
              <w:rPr>
                <w:rFonts w:ascii="Calibri" w:hAnsi="Calibri" w:cs="Calibri"/>
                <w:sz w:val="16"/>
                <w:szCs w:val="16"/>
                <w:lang w:eastAsia="ja-JP"/>
              </w:rPr>
              <w:t xml:space="preserve">7.1. Each FMS has adopted a Performance-Based School Grants policy. </w:t>
            </w:r>
          </w:p>
        </w:tc>
        <w:tc>
          <w:tcPr>
            <w:tcW w:w="628" w:type="pct"/>
            <w:tcBorders>
              <w:top w:val="nil"/>
              <w:left w:val="nil"/>
              <w:bottom w:val="single" w:sz="8" w:space="0" w:color="auto"/>
              <w:right w:val="single" w:sz="8" w:space="0" w:color="auto"/>
            </w:tcBorders>
            <w:shd w:val="clear" w:color="auto" w:fill="auto"/>
            <w:hideMark/>
          </w:tcPr>
          <w:p w14:paraId="3BF8C9E5" w14:textId="77777777" w:rsidR="007773A4" w:rsidRPr="007773A4" w:rsidRDefault="007773A4" w:rsidP="007773A4">
            <w:pPr>
              <w:rPr>
                <w:rFonts w:ascii="Calibri" w:hAnsi="Calibri" w:cs="Calibri"/>
                <w:sz w:val="16"/>
                <w:szCs w:val="16"/>
                <w:lang w:eastAsia="ja-JP"/>
              </w:rPr>
            </w:pPr>
            <w:r w:rsidRPr="007773A4">
              <w:rPr>
                <w:rFonts w:ascii="Calibri" w:hAnsi="Calibri" w:cs="Calibri"/>
                <w:sz w:val="16"/>
                <w:szCs w:val="16"/>
                <w:lang w:eastAsia="ja-JP"/>
              </w:rPr>
              <w:t>7.2. Each FMS has: (i) maintained a Performance-Based School Grants policy for the financing of recurrent costs; and (ii) approved aggregate FY 2022 budgetary appropriations for MoEs’ Performance-Based School Grants equal to half the aggregated Allocated Amounts for PBCs #6.4; #6.5; #7.2; #7.3, #8.3 and #8.4.</w:t>
            </w:r>
          </w:p>
        </w:tc>
        <w:tc>
          <w:tcPr>
            <w:tcW w:w="629" w:type="pct"/>
            <w:tcBorders>
              <w:top w:val="nil"/>
              <w:left w:val="nil"/>
              <w:bottom w:val="single" w:sz="8" w:space="0" w:color="auto"/>
              <w:right w:val="single" w:sz="8" w:space="0" w:color="auto"/>
            </w:tcBorders>
            <w:shd w:val="clear" w:color="auto" w:fill="auto"/>
            <w:hideMark/>
          </w:tcPr>
          <w:p w14:paraId="52663533" w14:textId="77777777" w:rsidR="007773A4" w:rsidRPr="007773A4" w:rsidRDefault="007773A4" w:rsidP="007773A4">
            <w:pPr>
              <w:rPr>
                <w:rFonts w:ascii="Calibri" w:hAnsi="Calibri" w:cs="Calibri"/>
                <w:sz w:val="16"/>
                <w:szCs w:val="16"/>
                <w:lang w:eastAsia="ja-JP"/>
              </w:rPr>
            </w:pPr>
            <w:r w:rsidRPr="007773A4">
              <w:rPr>
                <w:rFonts w:ascii="Calibri" w:hAnsi="Calibri" w:cs="Calibri"/>
                <w:sz w:val="16"/>
                <w:szCs w:val="16"/>
                <w:lang w:eastAsia="ja-JP"/>
              </w:rPr>
              <w:t>7.3. All Payroll Supported Schools in the FMS with signed Performance-Based School Grants Agreements have received annual Performance Based School Grants in a timely manner, as per the signed agreements.</w:t>
            </w:r>
          </w:p>
        </w:tc>
        <w:tc>
          <w:tcPr>
            <w:tcW w:w="627" w:type="pct"/>
            <w:tcBorders>
              <w:top w:val="nil"/>
              <w:left w:val="nil"/>
              <w:bottom w:val="single" w:sz="8" w:space="0" w:color="auto"/>
              <w:right w:val="single" w:sz="8" w:space="0" w:color="auto"/>
            </w:tcBorders>
            <w:shd w:val="clear" w:color="auto" w:fill="auto"/>
            <w:hideMark/>
          </w:tcPr>
          <w:p w14:paraId="3613CBA8" w14:textId="77777777" w:rsidR="007773A4" w:rsidRPr="007773A4" w:rsidRDefault="007773A4" w:rsidP="007773A4">
            <w:pPr>
              <w:rPr>
                <w:rFonts w:ascii="Calibri" w:hAnsi="Calibri" w:cs="Calibri"/>
                <w:sz w:val="16"/>
                <w:szCs w:val="16"/>
                <w:lang w:eastAsia="ja-JP"/>
              </w:rPr>
            </w:pPr>
            <w:r w:rsidRPr="007773A4">
              <w:rPr>
                <w:rFonts w:ascii="Calibri" w:hAnsi="Calibri" w:cs="Calibri"/>
                <w:sz w:val="16"/>
                <w:szCs w:val="16"/>
                <w:lang w:eastAsia="ja-JP"/>
              </w:rPr>
              <w:t xml:space="preserve">7.4. Each FMS has (i) maintained a Performance-Based School Grant policy for the financing of recurrent costs; and (ii) approved aggregate FY 2023 budgetary appropriations for MoEs’ Performance-Based School Grants equal to half the aggregated Allocated Amounts for PBCs #6.6; #7.4 and #8.5. </w:t>
            </w:r>
          </w:p>
        </w:tc>
      </w:tr>
      <w:tr w:rsidR="007773A4" w:rsidRPr="007773A4" w14:paraId="75BB938A" w14:textId="77777777" w:rsidTr="007773A4">
        <w:trPr>
          <w:trHeight w:val="300"/>
        </w:trPr>
        <w:tc>
          <w:tcPr>
            <w:tcW w:w="862" w:type="pct"/>
            <w:tcBorders>
              <w:top w:val="nil"/>
              <w:left w:val="single" w:sz="8" w:space="0" w:color="auto"/>
              <w:bottom w:val="single" w:sz="8" w:space="0" w:color="auto"/>
              <w:right w:val="single" w:sz="8" w:space="0" w:color="auto"/>
            </w:tcBorders>
            <w:shd w:val="clear" w:color="000000" w:fill="F2F2F2"/>
            <w:vAlign w:val="center"/>
            <w:hideMark/>
          </w:tcPr>
          <w:p w14:paraId="21DC09C0"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3.1</w:t>
            </w:r>
          </w:p>
        </w:tc>
        <w:tc>
          <w:tcPr>
            <w:tcW w:w="795" w:type="pct"/>
            <w:tcBorders>
              <w:top w:val="nil"/>
              <w:left w:val="nil"/>
              <w:bottom w:val="single" w:sz="8" w:space="0" w:color="auto"/>
              <w:right w:val="single" w:sz="8" w:space="0" w:color="auto"/>
            </w:tcBorders>
            <w:shd w:val="clear" w:color="000000" w:fill="F2F2F2"/>
            <w:vAlign w:val="center"/>
          </w:tcPr>
          <w:p w14:paraId="116EC9B1"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0.0</w:t>
            </w:r>
          </w:p>
        </w:tc>
        <w:tc>
          <w:tcPr>
            <w:tcW w:w="729" w:type="pct"/>
            <w:tcBorders>
              <w:top w:val="nil"/>
              <w:left w:val="nil"/>
              <w:bottom w:val="single" w:sz="8" w:space="0" w:color="auto"/>
              <w:right w:val="single" w:sz="8" w:space="0" w:color="auto"/>
            </w:tcBorders>
            <w:shd w:val="clear" w:color="000000" w:fill="F2F2F2"/>
            <w:vAlign w:val="center"/>
          </w:tcPr>
          <w:p w14:paraId="623C54F4"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0.0</w:t>
            </w:r>
          </w:p>
        </w:tc>
        <w:tc>
          <w:tcPr>
            <w:tcW w:w="730" w:type="pct"/>
            <w:tcBorders>
              <w:top w:val="nil"/>
              <w:left w:val="nil"/>
              <w:bottom w:val="single" w:sz="8" w:space="0" w:color="auto"/>
              <w:right w:val="single" w:sz="8" w:space="0" w:color="auto"/>
            </w:tcBorders>
            <w:shd w:val="clear" w:color="000000" w:fill="F2F2F2"/>
            <w:vAlign w:val="center"/>
            <w:hideMark/>
          </w:tcPr>
          <w:p w14:paraId="3F9403AF"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0.6</w:t>
            </w:r>
          </w:p>
        </w:tc>
        <w:tc>
          <w:tcPr>
            <w:tcW w:w="628" w:type="pct"/>
            <w:tcBorders>
              <w:top w:val="nil"/>
              <w:left w:val="nil"/>
              <w:bottom w:val="single" w:sz="8" w:space="0" w:color="auto"/>
              <w:right w:val="single" w:sz="8" w:space="0" w:color="auto"/>
            </w:tcBorders>
            <w:shd w:val="clear" w:color="000000" w:fill="F2F2F2"/>
            <w:vAlign w:val="center"/>
            <w:hideMark/>
          </w:tcPr>
          <w:p w14:paraId="2C5E31C2"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0.8</w:t>
            </w:r>
          </w:p>
        </w:tc>
        <w:tc>
          <w:tcPr>
            <w:tcW w:w="629" w:type="pct"/>
            <w:tcBorders>
              <w:top w:val="nil"/>
              <w:left w:val="nil"/>
              <w:bottom w:val="single" w:sz="8" w:space="0" w:color="auto"/>
              <w:right w:val="single" w:sz="8" w:space="0" w:color="auto"/>
            </w:tcBorders>
            <w:shd w:val="clear" w:color="000000" w:fill="F2F2F2"/>
            <w:vAlign w:val="center"/>
            <w:hideMark/>
          </w:tcPr>
          <w:p w14:paraId="34A7A982"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0.8</w:t>
            </w:r>
          </w:p>
        </w:tc>
        <w:tc>
          <w:tcPr>
            <w:tcW w:w="627" w:type="pct"/>
            <w:tcBorders>
              <w:top w:val="nil"/>
              <w:left w:val="nil"/>
              <w:bottom w:val="single" w:sz="8" w:space="0" w:color="auto"/>
              <w:right w:val="single" w:sz="8" w:space="0" w:color="auto"/>
            </w:tcBorders>
            <w:shd w:val="clear" w:color="000000" w:fill="F2F2F2"/>
            <w:vAlign w:val="center"/>
            <w:hideMark/>
          </w:tcPr>
          <w:p w14:paraId="1F1EA563"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0.4</w:t>
            </w:r>
          </w:p>
        </w:tc>
      </w:tr>
      <w:tr w:rsidR="007773A4" w:rsidRPr="007773A4" w14:paraId="453093EB" w14:textId="77777777" w:rsidTr="007773A4">
        <w:trPr>
          <w:trHeight w:val="1820"/>
        </w:trPr>
        <w:tc>
          <w:tcPr>
            <w:tcW w:w="862" w:type="pct"/>
            <w:tcBorders>
              <w:top w:val="nil"/>
              <w:left w:val="single" w:sz="8" w:space="0" w:color="auto"/>
              <w:bottom w:val="single" w:sz="8" w:space="0" w:color="auto"/>
              <w:right w:val="single" w:sz="8" w:space="0" w:color="auto"/>
            </w:tcBorders>
            <w:shd w:val="clear" w:color="auto" w:fill="auto"/>
            <w:hideMark/>
          </w:tcPr>
          <w:p w14:paraId="38180766" w14:textId="77777777" w:rsidR="007773A4" w:rsidRPr="007773A4" w:rsidRDefault="007773A4" w:rsidP="007773A4">
            <w:pPr>
              <w:rPr>
                <w:rFonts w:ascii="Calibri" w:hAnsi="Calibri" w:cs="Calibri"/>
                <w:b/>
                <w:bCs/>
                <w:sz w:val="16"/>
                <w:szCs w:val="16"/>
                <w:lang w:eastAsia="ja-JP"/>
              </w:rPr>
            </w:pPr>
            <w:r w:rsidRPr="007773A4">
              <w:rPr>
                <w:rFonts w:ascii="Calibri" w:hAnsi="Calibri" w:cs="Calibri"/>
                <w:b/>
                <w:bCs/>
                <w:sz w:val="16"/>
                <w:szCs w:val="16"/>
                <w:lang w:eastAsia="ja-JP"/>
              </w:rPr>
              <w:lastRenderedPageBreak/>
              <w:t xml:space="preserve">8. Strengthen health service delivery: </w:t>
            </w:r>
            <w:r w:rsidRPr="007773A4">
              <w:rPr>
                <w:rFonts w:ascii="Calibri" w:hAnsi="Calibri" w:cs="Calibri"/>
                <w:sz w:val="16"/>
                <w:szCs w:val="16"/>
                <w:lang w:eastAsia="ja-JP"/>
              </w:rPr>
              <w:t>Community health worker programs are small and in the early stages of being (re) established. Limited funds available to support service delivery at community level</w:t>
            </w:r>
          </w:p>
        </w:tc>
        <w:tc>
          <w:tcPr>
            <w:tcW w:w="795" w:type="pct"/>
            <w:tcBorders>
              <w:top w:val="nil"/>
              <w:left w:val="nil"/>
              <w:bottom w:val="single" w:sz="8" w:space="0" w:color="auto"/>
              <w:right w:val="single" w:sz="8" w:space="0" w:color="auto"/>
            </w:tcBorders>
            <w:shd w:val="clear" w:color="auto" w:fill="auto"/>
            <w:hideMark/>
          </w:tcPr>
          <w:p w14:paraId="0CE0AE0C" w14:textId="77777777" w:rsidR="007773A4" w:rsidRPr="007773A4" w:rsidRDefault="007773A4" w:rsidP="007773A4">
            <w:pPr>
              <w:rPr>
                <w:rFonts w:ascii="Calibri" w:hAnsi="Calibri" w:cs="Calibri"/>
                <w:sz w:val="16"/>
                <w:szCs w:val="16"/>
                <w:lang w:eastAsia="ja-JP"/>
              </w:rPr>
            </w:pPr>
            <w:r w:rsidRPr="007773A4">
              <w:rPr>
                <w:rFonts w:ascii="Calibri" w:hAnsi="Calibri" w:cs="Calibri"/>
                <w:sz w:val="16"/>
                <w:szCs w:val="16"/>
                <w:lang w:eastAsia="ja-JP"/>
              </w:rPr>
              <w:t> </w:t>
            </w:r>
          </w:p>
        </w:tc>
        <w:tc>
          <w:tcPr>
            <w:tcW w:w="729" w:type="pct"/>
            <w:tcBorders>
              <w:top w:val="nil"/>
              <w:left w:val="nil"/>
              <w:bottom w:val="single" w:sz="8" w:space="0" w:color="auto"/>
              <w:right w:val="single" w:sz="8" w:space="0" w:color="auto"/>
            </w:tcBorders>
            <w:shd w:val="clear" w:color="auto" w:fill="auto"/>
            <w:hideMark/>
          </w:tcPr>
          <w:p w14:paraId="2281BB9B" w14:textId="77777777" w:rsidR="007773A4" w:rsidRPr="007773A4" w:rsidRDefault="007773A4" w:rsidP="007773A4">
            <w:pPr>
              <w:rPr>
                <w:rFonts w:ascii="Calibri" w:hAnsi="Calibri" w:cs="Calibri"/>
                <w:sz w:val="16"/>
                <w:szCs w:val="16"/>
                <w:lang w:eastAsia="ja-JP"/>
              </w:rPr>
            </w:pPr>
            <w:r w:rsidRPr="007773A4">
              <w:rPr>
                <w:rFonts w:ascii="Calibri" w:hAnsi="Calibri" w:cs="Calibri"/>
                <w:sz w:val="16"/>
                <w:szCs w:val="16"/>
                <w:lang w:eastAsia="ja-JP"/>
              </w:rPr>
              <w:t xml:space="preserve">8.1. The FMS have: (i) adopted annual community health service delivery plans, including infectious disease measures for FY 2021; and (ii) approved MoHs’ FY 2021 budgetary appropriations for community health service delivery for an amount equal to the aggregated Allocated Amounts for PBCs #6.2; #6.3; #8.1and #8.2. </w:t>
            </w:r>
          </w:p>
        </w:tc>
        <w:tc>
          <w:tcPr>
            <w:tcW w:w="730" w:type="pct"/>
            <w:tcBorders>
              <w:top w:val="nil"/>
              <w:left w:val="nil"/>
              <w:bottom w:val="single" w:sz="8" w:space="0" w:color="auto"/>
              <w:right w:val="single" w:sz="8" w:space="0" w:color="auto"/>
            </w:tcBorders>
            <w:shd w:val="clear" w:color="auto" w:fill="auto"/>
            <w:hideMark/>
          </w:tcPr>
          <w:p w14:paraId="6606FA74" w14:textId="77777777" w:rsidR="007773A4" w:rsidRPr="007773A4" w:rsidRDefault="007773A4" w:rsidP="007773A4">
            <w:pPr>
              <w:rPr>
                <w:rFonts w:ascii="Calibri" w:hAnsi="Calibri" w:cs="Calibri"/>
                <w:sz w:val="16"/>
                <w:szCs w:val="16"/>
                <w:lang w:eastAsia="ja-JP"/>
              </w:rPr>
            </w:pPr>
            <w:r w:rsidRPr="007773A4">
              <w:rPr>
                <w:rFonts w:ascii="Calibri" w:hAnsi="Calibri" w:cs="Calibri"/>
                <w:sz w:val="16"/>
                <w:szCs w:val="16"/>
                <w:lang w:eastAsia="ja-JP"/>
              </w:rPr>
              <w:t xml:space="preserve">8.2. The FMS have executed the community health service delivery plans for FY 2021 in a timely manner, as per the signed Service Delivery Transfer Agreements. </w:t>
            </w:r>
          </w:p>
        </w:tc>
        <w:tc>
          <w:tcPr>
            <w:tcW w:w="628" w:type="pct"/>
            <w:tcBorders>
              <w:top w:val="nil"/>
              <w:left w:val="nil"/>
              <w:bottom w:val="single" w:sz="8" w:space="0" w:color="auto"/>
              <w:right w:val="single" w:sz="8" w:space="0" w:color="auto"/>
            </w:tcBorders>
            <w:shd w:val="clear" w:color="auto" w:fill="auto"/>
            <w:hideMark/>
          </w:tcPr>
          <w:p w14:paraId="34C3297B" w14:textId="77777777" w:rsidR="007773A4" w:rsidRPr="007773A4" w:rsidRDefault="007773A4" w:rsidP="007773A4">
            <w:pPr>
              <w:rPr>
                <w:rFonts w:ascii="Calibri" w:hAnsi="Calibri" w:cs="Calibri"/>
                <w:sz w:val="16"/>
                <w:szCs w:val="16"/>
                <w:lang w:eastAsia="ja-JP"/>
              </w:rPr>
            </w:pPr>
            <w:r w:rsidRPr="007773A4">
              <w:rPr>
                <w:rFonts w:ascii="Calibri" w:hAnsi="Calibri" w:cs="Calibri"/>
                <w:sz w:val="16"/>
                <w:szCs w:val="16"/>
                <w:lang w:eastAsia="ja-JP"/>
              </w:rPr>
              <w:t>8.3. The FMS have: (i) adopted annual community health service delivery plans, including infectious disease measures for FY 2022; and (ii) approved MoHs’ FY 2022 budgetary appropriations for community health service delivery for an amount equal to half the aggregated Allocated Amounts for PBCs #6.4; #6.5; #7.2; #7.3; #8.3 and #8.4.</w:t>
            </w:r>
          </w:p>
        </w:tc>
        <w:tc>
          <w:tcPr>
            <w:tcW w:w="629" w:type="pct"/>
            <w:tcBorders>
              <w:top w:val="nil"/>
              <w:left w:val="nil"/>
              <w:bottom w:val="single" w:sz="8" w:space="0" w:color="auto"/>
              <w:right w:val="single" w:sz="8" w:space="0" w:color="auto"/>
            </w:tcBorders>
            <w:shd w:val="clear" w:color="auto" w:fill="auto"/>
            <w:hideMark/>
          </w:tcPr>
          <w:p w14:paraId="3E1B1865" w14:textId="77777777" w:rsidR="007773A4" w:rsidRPr="007773A4" w:rsidRDefault="007773A4" w:rsidP="007773A4">
            <w:pPr>
              <w:rPr>
                <w:rFonts w:ascii="Calibri" w:hAnsi="Calibri" w:cs="Calibri"/>
                <w:sz w:val="16"/>
                <w:szCs w:val="16"/>
                <w:lang w:eastAsia="ja-JP"/>
              </w:rPr>
            </w:pPr>
            <w:r w:rsidRPr="007773A4">
              <w:rPr>
                <w:rFonts w:ascii="Calibri" w:hAnsi="Calibri" w:cs="Calibri"/>
                <w:sz w:val="16"/>
                <w:szCs w:val="16"/>
                <w:lang w:eastAsia="ja-JP"/>
              </w:rPr>
              <w:t>8.4. The FMS have executed the community health service delivery plans for FY 2022 in a timely manner, as per the signed Service Deliver Transfer Agreements.</w:t>
            </w:r>
          </w:p>
        </w:tc>
        <w:tc>
          <w:tcPr>
            <w:tcW w:w="627" w:type="pct"/>
            <w:tcBorders>
              <w:top w:val="nil"/>
              <w:left w:val="nil"/>
              <w:bottom w:val="single" w:sz="8" w:space="0" w:color="auto"/>
              <w:right w:val="single" w:sz="8" w:space="0" w:color="auto"/>
            </w:tcBorders>
            <w:shd w:val="clear" w:color="auto" w:fill="auto"/>
            <w:hideMark/>
          </w:tcPr>
          <w:p w14:paraId="3083A3D3" w14:textId="77777777" w:rsidR="007773A4" w:rsidRPr="007773A4" w:rsidRDefault="007773A4" w:rsidP="007773A4">
            <w:pPr>
              <w:rPr>
                <w:rFonts w:ascii="Calibri" w:hAnsi="Calibri" w:cs="Calibri"/>
                <w:sz w:val="16"/>
                <w:szCs w:val="16"/>
                <w:lang w:eastAsia="ja-JP"/>
              </w:rPr>
            </w:pPr>
            <w:r w:rsidRPr="007773A4">
              <w:rPr>
                <w:rFonts w:ascii="Calibri" w:hAnsi="Calibri" w:cs="Calibri"/>
                <w:sz w:val="16"/>
                <w:szCs w:val="16"/>
                <w:lang w:eastAsia="ja-JP"/>
              </w:rPr>
              <w:t>8.5. The FMS have (i) adopted annual community health service delivery plans, including infectious disease measures for FY 2023; and (ii) approved MoHs’ FY 2023 budgetary appropriations for community health service delivery for an amount equal to half the aggregated Allocated Amounts for PBCs #6.6; #7.4 and #8.5.  .</w:t>
            </w:r>
          </w:p>
        </w:tc>
      </w:tr>
      <w:tr w:rsidR="007773A4" w:rsidRPr="007773A4" w14:paraId="14063758" w14:textId="77777777" w:rsidTr="007773A4">
        <w:trPr>
          <w:trHeight w:val="300"/>
        </w:trPr>
        <w:tc>
          <w:tcPr>
            <w:tcW w:w="862" w:type="pct"/>
            <w:tcBorders>
              <w:top w:val="nil"/>
              <w:left w:val="single" w:sz="8" w:space="0" w:color="auto"/>
              <w:bottom w:val="single" w:sz="8" w:space="0" w:color="auto"/>
              <w:right w:val="single" w:sz="8" w:space="0" w:color="auto"/>
            </w:tcBorders>
            <w:shd w:val="clear" w:color="000000" w:fill="F2F2F2"/>
            <w:vAlign w:val="center"/>
            <w:hideMark/>
          </w:tcPr>
          <w:p w14:paraId="73A77609"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3.1</w:t>
            </w:r>
          </w:p>
        </w:tc>
        <w:tc>
          <w:tcPr>
            <w:tcW w:w="795" w:type="pct"/>
            <w:tcBorders>
              <w:top w:val="nil"/>
              <w:left w:val="nil"/>
              <w:bottom w:val="single" w:sz="8" w:space="0" w:color="auto"/>
              <w:right w:val="single" w:sz="8" w:space="0" w:color="auto"/>
            </w:tcBorders>
            <w:shd w:val="clear" w:color="000000" w:fill="F2F2F2"/>
            <w:vAlign w:val="center"/>
            <w:hideMark/>
          </w:tcPr>
          <w:p w14:paraId="7A682509"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0.0</w:t>
            </w:r>
          </w:p>
        </w:tc>
        <w:tc>
          <w:tcPr>
            <w:tcW w:w="729" w:type="pct"/>
            <w:tcBorders>
              <w:top w:val="nil"/>
              <w:left w:val="nil"/>
              <w:bottom w:val="single" w:sz="8" w:space="0" w:color="auto"/>
              <w:right w:val="single" w:sz="8" w:space="0" w:color="auto"/>
            </w:tcBorders>
            <w:shd w:val="clear" w:color="000000" w:fill="F2F2F2"/>
            <w:vAlign w:val="center"/>
            <w:hideMark/>
          </w:tcPr>
          <w:p w14:paraId="0861CE86"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0.6</w:t>
            </w:r>
          </w:p>
        </w:tc>
        <w:tc>
          <w:tcPr>
            <w:tcW w:w="730" w:type="pct"/>
            <w:tcBorders>
              <w:top w:val="nil"/>
              <w:left w:val="nil"/>
              <w:bottom w:val="single" w:sz="8" w:space="0" w:color="auto"/>
              <w:right w:val="single" w:sz="8" w:space="0" w:color="auto"/>
            </w:tcBorders>
            <w:shd w:val="clear" w:color="000000" w:fill="F2F2F2"/>
            <w:vAlign w:val="center"/>
            <w:hideMark/>
          </w:tcPr>
          <w:p w14:paraId="2B3C8EB9"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0.6</w:t>
            </w:r>
          </w:p>
        </w:tc>
        <w:tc>
          <w:tcPr>
            <w:tcW w:w="628" w:type="pct"/>
            <w:tcBorders>
              <w:top w:val="nil"/>
              <w:left w:val="nil"/>
              <w:bottom w:val="single" w:sz="8" w:space="0" w:color="auto"/>
              <w:right w:val="single" w:sz="8" w:space="0" w:color="auto"/>
            </w:tcBorders>
            <w:shd w:val="clear" w:color="000000" w:fill="F2F2F2"/>
            <w:vAlign w:val="center"/>
            <w:hideMark/>
          </w:tcPr>
          <w:p w14:paraId="4D3C10D8"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0.8</w:t>
            </w:r>
          </w:p>
        </w:tc>
        <w:tc>
          <w:tcPr>
            <w:tcW w:w="629" w:type="pct"/>
            <w:tcBorders>
              <w:top w:val="nil"/>
              <w:left w:val="nil"/>
              <w:bottom w:val="single" w:sz="8" w:space="0" w:color="auto"/>
              <w:right w:val="single" w:sz="8" w:space="0" w:color="auto"/>
            </w:tcBorders>
            <w:shd w:val="clear" w:color="000000" w:fill="F2F2F2"/>
            <w:vAlign w:val="center"/>
            <w:hideMark/>
          </w:tcPr>
          <w:p w14:paraId="145F0CCE"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0.8</w:t>
            </w:r>
          </w:p>
        </w:tc>
        <w:tc>
          <w:tcPr>
            <w:tcW w:w="627" w:type="pct"/>
            <w:tcBorders>
              <w:top w:val="nil"/>
              <w:left w:val="nil"/>
              <w:bottom w:val="single" w:sz="8" w:space="0" w:color="auto"/>
              <w:right w:val="single" w:sz="8" w:space="0" w:color="auto"/>
            </w:tcBorders>
            <w:shd w:val="clear" w:color="000000" w:fill="F2F2F2"/>
            <w:vAlign w:val="center"/>
            <w:hideMark/>
          </w:tcPr>
          <w:p w14:paraId="1D7B089D"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0.4</w:t>
            </w:r>
          </w:p>
        </w:tc>
      </w:tr>
      <w:tr w:rsidR="007773A4" w:rsidRPr="007773A4" w14:paraId="170E81FB" w14:textId="77777777" w:rsidTr="007773A4">
        <w:trPr>
          <w:trHeight w:val="300"/>
        </w:trPr>
        <w:tc>
          <w:tcPr>
            <w:tcW w:w="862" w:type="pct"/>
            <w:tcBorders>
              <w:top w:val="nil"/>
              <w:left w:val="single" w:sz="8" w:space="0" w:color="auto"/>
              <w:bottom w:val="single" w:sz="8" w:space="0" w:color="auto"/>
              <w:right w:val="single" w:sz="8" w:space="0" w:color="auto"/>
            </w:tcBorders>
            <w:shd w:val="clear" w:color="000000" w:fill="D9D9D9"/>
            <w:vAlign w:val="center"/>
            <w:hideMark/>
          </w:tcPr>
          <w:p w14:paraId="4D85E94F"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11.7</w:t>
            </w:r>
          </w:p>
        </w:tc>
        <w:tc>
          <w:tcPr>
            <w:tcW w:w="795" w:type="pct"/>
            <w:tcBorders>
              <w:top w:val="nil"/>
              <w:left w:val="nil"/>
              <w:bottom w:val="single" w:sz="8" w:space="0" w:color="auto"/>
              <w:right w:val="single" w:sz="8" w:space="0" w:color="auto"/>
            </w:tcBorders>
            <w:shd w:val="clear" w:color="000000" w:fill="D9D9D9"/>
            <w:vAlign w:val="center"/>
            <w:hideMark/>
          </w:tcPr>
          <w:p w14:paraId="25545A56"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2.5</w:t>
            </w:r>
          </w:p>
        </w:tc>
        <w:tc>
          <w:tcPr>
            <w:tcW w:w="1459" w:type="pct"/>
            <w:gridSpan w:val="2"/>
            <w:tcBorders>
              <w:top w:val="single" w:sz="8" w:space="0" w:color="auto"/>
              <w:left w:val="nil"/>
              <w:bottom w:val="single" w:sz="8" w:space="0" w:color="auto"/>
              <w:right w:val="single" w:sz="8" w:space="0" w:color="auto"/>
            </w:tcBorders>
            <w:shd w:val="clear" w:color="000000" w:fill="D9D9D9"/>
            <w:vAlign w:val="center"/>
            <w:hideMark/>
          </w:tcPr>
          <w:p w14:paraId="301A5887"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3.0</w:t>
            </w:r>
          </w:p>
        </w:tc>
        <w:tc>
          <w:tcPr>
            <w:tcW w:w="1257" w:type="pct"/>
            <w:gridSpan w:val="2"/>
            <w:tcBorders>
              <w:top w:val="single" w:sz="8" w:space="0" w:color="auto"/>
              <w:left w:val="nil"/>
              <w:bottom w:val="single" w:sz="8" w:space="0" w:color="auto"/>
              <w:right w:val="single" w:sz="8" w:space="0" w:color="auto"/>
            </w:tcBorders>
            <w:shd w:val="clear" w:color="000000" w:fill="D9D9D9"/>
            <w:vAlign w:val="center"/>
            <w:hideMark/>
          </w:tcPr>
          <w:p w14:paraId="7DC31139"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4.9</w:t>
            </w:r>
          </w:p>
        </w:tc>
        <w:tc>
          <w:tcPr>
            <w:tcW w:w="627" w:type="pct"/>
            <w:tcBorders>
              <w:top w:val="nil"/>
              <w:left w:val="nil"/>
              <w:bottom w:val="single" w:sz="8" w:space="0" w:color="auto"/>
              <w:right w:val="single" w:sz="8" w:space="0" w:color="auto"/>
            </w:tcBorders>
            <w:shd w:val="clear" w:color="000000" w:fill="D9D9D9"/>
            <w:vAlign w:val="center"/>
            <w:hideMark/>
          </w:tcPr>
          <w:p w14:paraId="3F78C446" w14:textId="77777777" w:rsidR="007773A4" w:rsidRPr="007773A4" w:rsidRDefault="007773A4" w:rsidP="007773A4">
            <w:pPr>
              <w:jc w:val="center"/>
              <w:rPr>
                <w:rFonts w:ascii="Calibri" w:hAnsi="Calibri" w:cs="Calibri"/>
                <w:b/>
                <w:bCs/>
                <w:sz w:val="18"/>
                <w:szCs w:val="18"/>
                <w:lang w:eastAsia="ja-JP"/>
              </w:rPr>
            </w:pPr>
            <w:r w:rsidRPr="007773A4">
              <w:rPr>
                <w:rFonts w:ascii="Calibri" w:hAnsi="Calibri" w:cs="Calibri"/>
                <w:b/>
                <w:bCs/>
                <w:sz w:val="18"/>
                <w:szCs w:val="18"/>
                <w:lang w:eastAsia="ja-JP"/>
              </w:rPr>
              <w:t>1.3</w:t>
            </w:r>
          </w:p>
        </w:tc>
      </w:tr>
    </w:tbl>
    <w:p w14:paraId="229D37C7" w14:textId="77777777" w:rsidR="007773A4" w:rsidRPr="007773A4" w:rsidRDefault="007773A4" w:rsidP="007773A4">
      <w:pPr>
        <w:ind w:left="-900"/>
      </w:pPr>
    </w:p>
    <w:p w14:paraId="04718C9D" w14:textId="77777777" w:rsidR="007773A4" w:rsidRPr="007773A4" w:rsidRDefault="007773A4" w:rsidP="007773A4">
      <w:pPr>
        <w:rPr>
          <w:sz w:val="18"/>
          <w:szCs w:val="18"/>
        </w:rPr>
      </w:pPr>
    </w:p>
    <w:p w14:paraId="132C02CF" w14:textId="77777777" w:rsidR="007773A4" w:rsidRPr="007773A4" w:rsidRDefault="007773A4" w:rsidP="007773A4"/>
    <w:p w14:paraId="1A747347" w14:textId="77777777" w:rsidR="007773A4" w:rsidRPr="007773A4" w:rsidRDefault="007773A4" w:rsidP="007773A4"/>
    <w:p w14:paraId="0077277D" w14:textId="36DA6D6E" w:rsidR="007773A4" w:rsidRPr="002824F4" w:rsidRDefault="007773A4" w:rsidP="002824F4">
      <w:pPr>
        <w:spacing w:after="120"/>
        <w:ind w:left="-540"/>
        <w:jc w:val="center"/>
        <w:rPr>
          <w:b/>
          <w:sz w:val="22"/>
          <w:szCs w:val="22"/>
        </w:rPr>
      </w:pPr>
      <w:bookmarkStart w:id="38" w:name="_Toc37773478"/>
      <w:bookmarkStart w:id="39" w:name="_Toc41605719"/>
      <w:r w:rsidRPr="002824F4">
        <w:rPr>
          <w:b/>
          <w:sz w:val="22"/>
          <w:szCs w:val="22"/>
        </w:rPr>
        <w:t xml:space="preserve">Table </w:t>
      </w:r>
      <w:r w:rsidR="002824F4" w:rsidRPr="002824F4">
        <w:rPr>
          <w:b/>
          <w:sz w:val="22"/>
          <w:szCs w:val="22"/>
        </w:rPr>
        <w:t>5</w:t>
      </w:r>
      <w:r w:rsidRPr="002824F4">
        <w:rPr>
          <w:b/>
          <w:sz w:val="22"/>
          <w:szCs w:val="22"/>
        </w:rPr>
        <w:t>: RCRF III Verification Protocol for PBCs (for FMS, Sub-Component 2.2)</w:t>
      </w:r>
      <w:bookmarkEnd w:id="38"/>
      <w:bookmarkEnd w:id="39"/>
    </w:p>
    <w:tbl>
      <w:tblPr>
        <w:tblW w:w="5391" w:type="pct"/>
        <w:tblInd w:w="-1000" w:type="dxa"/>
        <w:tblLayout w:type="fixed"/>
        <w:tblLook w:val="04A0" w:firstRow="1" w:lastRow="0" w:firstColumn="1" w:lastColumn="0" w:noHBand="0" w:noVBand="1"/>
      </w:tblPr>
      <w:tblGrid>
        <w:gridCol w:w="3329"/>
        <w:gridCol w:w="3960"/>
        <w:gridCol w:w="1270"/>
        <w:gridCol w:w="11"/>
        <w:gridCol w:w="2062"/>
        <w:gridCol w:w="1618"/>
        <w:gridCol w:w="1702"/>
      </w:tblGrid>
      <w:tr w:rsidR="007773A4" w:rsidRPr="007773A4" w14:paraId="7D417F89" w14:textId="77777777" w:rsidTr="007773A4">
        <w:trPr>
          <w:trHeight w:val="232"/>
          <w:tblHeader/>
        </w:trPr>
        <w:tc>
          <w:tcPr>
            <w:tcW w:w="1193"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6329ED4"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Performance Based Condition (PBC)</w:t>
            </w:r>
          </w:p>
        </w:tc>
        <w:tc>
          <w:tcPr>
            <w:tcW w:w="1419" w:type="pct"/>
            <w:tcBorders>
              <w:top w:val="single" w:sz="8" w:space="0" w:color="auto"/>
              <w:left w:val="nil"/>
              <w:bottom w:val="single" w:sz="8" w:space="0" w:color="auto"/>
              <w:right w:val="single" w:sz="8" w:space="0" w:color="auto"/>
            </w:tcBorders>
            <w:shd w:val="clear" w:color="auto" w:fill="auto"/>
            <w:vAlign w:val="center"/>
            <w:hideMark/>
          </w:tcPr>
          <w:p w14:paraId="0F04229B"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Definition /</w:t>
            </w:r>
          </w:p>
        </w:tc>
        <w:tc>
          <w:tcPr>
            <w:tcW w:w="459" w:type="pct"/>
            <w:gridSpan w:val="2"/>
            <w:tcBorders>
              <w:top w:val="single" w:sz="8" w:space="0" w:color="auto"/>
              <w:left w:val="nil"/>
              <w:bottom w:val="single" w:sz="8" w:space="0" w:color="auto"/>
              <w:right w:val="single" w:sz="8" w:space="0" w:color="auto"/>
            </w:tcBorders>
            <w:shd w:val="clear" w:color="auto" w:fill="auto"/>
            <w:vAlign w:val="center"/>
            <w:hideMark/>
          </w:tcPr>
          <w:p w14:paraId="2CB04F6E"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Scalability of Disbursements</w:t>
            </w:r>
          </w:p>
        </w:tc>
        <w:tc>
          <w:tcPr>
            <w:tcW w:w="1929" w:type="pct"/>
            <w:gridSpan w:val="3"/>
            <w:tcBorders>
              <w:top w:val="single" w:sz="8" w:space="0" w:color="auto"/>
              <w:left w:val="nil"/>
              <w:bottom w:val="single" w:sz="8" w:space="0" w:color="auto"/>
              <w:right w:val="single" w:sz="8" w:space="0" w:color="auto"/>
            </w:tcBorders>
            <w:shd w:val="clear" w:color="auto" w:fill="auto"/>
            <w:vAlign w:val="center"/>
            <w:hideMark/>
          </w:tcPr>
          <w:p w14:paraId="02E3EE81"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Protocol to evaluate achievement of the PBC and data/result verification</w:t>
            </w:r>
          </w:p>
        </w:tc>
      </w:tr>
      <w:tr w:rsidR="007773A4" w:rsidRPr="007773A4" w14:paraId="3CD5713D" w14:textId="77777777" w:rsidTr="007773A4">
        <w:trPr>
          <w:trHeight w:val="220"/>
          <w:tblHeader/>
        </w:trPr>
        <w:tc>
          <w:tcPr>
            <w:tcW w:w="1193" w:type="pct"/>
            <w:vMerge/>
            <w:tcBorders>
              <w:top w:val="single" w:sz="8" w:space="0" w:color="auto"/>
              <w:left w:val="single" w:sz="8" w:space="0" w:color="auto"/>
              <w:bottom w:val="single" w:sz="8" w:space="0" w:color="auto"/>
              <w:right w:val="single" w:sz="8" w:space="0" w:color="auto"/>
            </w:tcBorders>
            <w:vAlign w:val="center"/>
            <w:hideMark/>
          </w:tcPr>
          <w:p w14:paraId="54C69F36" w14:textId="77777777" w:rsidR="007773A4" w:rsidRPr="007773A4" w:rsidRDefault="007773A4" w:rsidP="007773A4">
            <w:pPr>
              <w:rPr>
                <w:rFonts w:ascii="Calibri" w:hAnsi="Calibri" w:cs="Calibri"/>
                <w:b/>
                <w:bCs/>
                <w:sz w:val="16"/>
                <w:szCs w:val="16"/>
              </w:rPr>
            </w:pPr>
          </w:p>
        </w:tc>
        <w:tc>
          <w:tcPr>
            <w:tcW w:w="141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2D6AF82"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Description of achievement</w:t>
            </w:r>
          </w:p>
        </w:tc>
        <w:tc>
          <w:tcPr>
            <w:tcW w:w="459" w:type="pct"/>
            <w:gridSpan w:val="2"/>
            <w:tcBorders>
              <w:top w:val="single" w:sz="8" w:space="0" w:color="auto"/>
              <w:left w:val="nil"/>
              <w:bottom w:val="single" w:sz="8" w:space="0" w:color="auto"/>
              <w:right w:val="single" w:sz="8" w:space="0" w:color="auto"/>
            </w:tcBorders>
            <w:shd w:val="clear" w:color="auto" w:fill="auto"/>
            <w:vAlign w:val="center"/>
            <w:hideMark/>
          </w:tcPr>
          <w:p w14:paraId="611806B6"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(Yes/No)</w:t>
            </w:r>
          </w:p>
        </w:tc>
        <w:tc>
          <w:tcPr>
            <w:tcW w:w="739" w:type="pct"/>
            <w:tcBorders>
              <w:top w:val="single" w:sz="8" w:space="0" w:color="auto"/>
              <w:left w:val="nil"/>
              <w:bottom w:val="single" w:sz="8" w:space="0" w:color="auto"/>
              <w:right w:val="single" w:sz="8" w:space="0" w:color="auto"/>
            </w:tcBorders>
            <w:shd w:val="clear" w:color="auto" w:fill="auto"/>
            <w:vAlign w:val="center"/>
            <w:hideMark/>
          </w:tcPr>
          <w:p w14:paraId="71C650F3"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Data source/agency</w:t>
            </w:r>
          </w:p>
        </w:tc>
        <w:tc>
          <w:tcPr>
            <w:tcW w:w="580" w:type="pct"/>
            <w:tcBorders>
              <w:top w:val="single" w:sz="8" w:space="0" w:color="auto"/>
              <w:left w:val="nil"/>
              <w:bottom w:val="single" w:sz="8" w:space="0" w:color="auto"/>
              <w:right w:val="single" w:sz="8" w:space="0" w:color="auto"/>
            </w:tcBorders>
            <w:shd w:val="clear" w:color="auto" w:fill="auto"/>
            <w:vAlign w:val="center"/>
            <w:hideMark/>
          </w:tcPr>
          <w:p w14:paraId="601C7C80"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footnoteReference w:customMarkFollows="1" w:id="5"/>
              <w:t>Verification</w:t>
            </w:r>
          </w:p>
        </w:tc>
        <w:tc>
          <w:tcPr>
            <w:tcW w:w="610" w:type="pct"/>
            <w:tcBorders>
              <w:top w:val="single" w:sz="8" w:space="0" w:color="auto"/>
              <w:left w:val="nil"/>
              <w:bottom w:val="single" w:sz="8" w:space="0" w:color="auto"/>
              <w:right w:val="single" w:sz="8" w:space="0" w:color="auto"/>
            </w:tcBorders>
            <w:shd w:val="clear" w:color="auto" w:fill="auto"/>
            <w:vAlign w:val="center"/>
            <w:hideMark/>
          </w:tcPr>
          <w:p w14:paraId="3FE12F04" w14:textId="77777777" w:rsidR="007773A4" w:rsidRPr="007773A4" w:rsidRDefault="007773A4" w:rsidP="007773A4">
            <w:pPr>
              <w:jc w:val="center"/>
              <w:rPr>
                <w:rFonts w:ascii="Calibri" w:hAnsi="Calibri" w:cs="Calibri"/>
                <w:b/>
                <w:bCs/>
                <w:sz w:val="16"/>
                <w:szCs w:val="16"/>
              </w:rPr>
            </w:pPr>
            <w:r w:rsidRPr="007773A4">
              <w:rPr>
                <w:rFonts w:ascii="Calibri" w:hAnsi="Calibri" w:cs="Calibri"/>
                <w:b/>
                <w:bCs/>
                <w:sz w:val="16"/>
                <w:szCs w:val="16"/>
              </w:rPr>
              <w:t>Procedure</w:t>
            </w:r>
          </w:p>
        </w:tc>
      </w:tr>
      <w:tr w:rsidR="007773A4" w:rsidRPr="007773A4" w14:paraId="5B4B217C" w14:textId="77777777" w:rsidTr="007773A4">
        <w:trPr>
          <w:trHeight w:val="220"/>
        </w:trPr>
        <w:tc>
          <w:tcPr>
            <w:tcW w:w="5000" w:type="pct"/>
            <w:gridSpan w:val="7"/>
            <w:tcBorders>
              <w:top w:val="single" w:sz="8" w:space="0" w:color="auto"/>
              <w:left w:val="single" w:sz="8" w:space="0" w:color="auto"/>
              <w:bottom w:val="single" w:sz="8" w:space="0" w:color="auto"/>
              <w:right w:val="single" w:sz="8" w:space="0" w:color="000000" w:themeColor="text1"/>
            </w:tcBorders>
            <w:shd w:val="clear" w:color="auto" w:fill="F2F2F2" w:themeFill="background1" w:themeFillShade="F2"/>
            <w:vAlign w:val="center"/>
            <w:hideMark/>
          </w:tcPr>
          <w:p w14:paraId="63660142" w14:textId="77777777" w:rsidR="007773A4" w:rsidRPr="007773A4" w:rsidRDefault="007773A4" w:rsidP="007773A4">
            <w:pPr>
              <w:rPr>
                <w:rFonts w:ascii="Calibri" w:hAnsi="Calibri" w:cs="Calibri"/>
                <w:b/>
                <w:bCs/>
                <w:sz w:val="16"/>
                <w:szCs w:val="16"/>
              </w:rPr>
            </w:pPr>
            <w:r w:rsidRPr="007773A4">
              <w:rPr>
                <w:rFonts w:ascii="Calibri" w:hAnsi="Calibri"/>
                <w:b/>
                <w:bCs/>
                <w:sz w:val="16"/>
                <w:szCs w:val="16"/>
              </w:rPr>
              <w:t>6.</w:t>
            </w:r>
            <w:r w:rsidRPr="007773A4">
              <w:rPr>
                <w:rFonts w:ascii="Calibri" w:eastAsia="Calibri" w:hAnsi="Calibri" w:cs="Calibri"/>
                <w:b/>
                <w:bCs/>
                <w:sz w:val="16"/>
                <w:szCs w:val="16"/>
              </w:rPr>
              <w:t xml:space="preserve"> Strengthen resource management systems for service delivery</w:t>
            </w:r>
          </w:p>
        </w:tc>
      </w:tr>
      <w:tr w:rsidR="007773A4" w:rsidRPr="007773A4" w14:paraId="21260D7F" w14:textId="77777777" w:rsidTr="007773A4">
        <w:trPr>
          <w:trHeight w:val="889"/>
        </w:trPr>
        <w:tc>
          <w:tcPr>
            <w:tcW w:w="1193" w:type="pct"/>
            <w:tcBorders>
              <w:top w:val="nil"/>
              <w:left w:val="single" w:sz="8" w:space="0" w:color="auto"/>
              <w:bottom w:val="single" w:sz="8" w:space="0" w:color="auto"/>
              <w:right w:val="single" w:sz="8" w:space="0" w:color="auto"/>
            </w:tcBorders>
            <w:shd w:val="clear" w:color="auto" w:fill="D9D9D9" w:themeFill="background1" w:themeFillShade="D9"/>
            <w:hideMark/>
          </w:tcPr>
          <w:p w14:paraId="6C506A16" w14:textId="77777777" w:rsidR="007773A4" w:rsidRPr="007773A4" w:rsidRDefault="007773A4" w:rsidP="007773A4">
            <w:pPr>
              <w:rPr>
                <w:rFonts w:ascii="Calibri" w:hAnsi="Calibri" w:cs="Calibri"/>
                <w:sz w:val="16"/>
                <w:szCs w:val="16"/>
              </w:rPr>
            </w:pPr>
            <w:r w:rsidRPr="007773A4">
              <w:rPr>
                <w:rFonts w:ascii="Calibri" w:hAnsi="Calibri" w:cs="Calibri"/>
                <w:sz w:val="16"/>
                <w:szCs w:val="16"/>
                <w:lang w:eastAsia="ja-JP"/>
              </w:rPr>
              <w:t>6.1. The FMS have: (i) signed Service Delivery Transfer Agreements with FGS, including costed COVID-19 measures, for an aggregate amount equal to the Allocated Amount of this PBC equivalent; and (ii) approved budgetary appropriations for FY 2020 allocating a net budgetary increase for their respective MoHs equal to the amount of the respective Service Delivery Transfer Agreements.</w:t>
            </w:r>
          </w:p>
        </w:tc>
        <w:tc>
          <w:tcPr>
            <w:tcW w:w="1419" w:type="pct"/>
            <w:tcBorders>
              <w:top w:val="nil"/>
              <w:left w:val="nil"/>
              <w:bottom w:val="single" w:sz="8" w:space="0" w:color="auto"/>
              <w:right w:val="single" w:sz="8" w:space="0" w:color="auto"/>
            </w:tcBorders>
            <w:shd w:val="clear" w:color="auto" w:fill="auto"/>
            <w:vAlign w:val="center"/>
            <w:hideMark/>
          </w:tcPr>
          <w:p w14:paraId="6402B83D"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Service Delivery Transfer Agreements to comprise:</w:t>
            </w:r>
          </w:p>
          <w:p w14:paraId="5762EBE1"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Overview: Statement of overall objectives, costs, and expected results;</w:t>
            </w:r>
          </w:p>
          <w:p w14:paraId="08FFE9EA"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Health: Annual Community Health Service Delivery Plan (annual allocations and costed activities), including costed COVID-19 and infectious diseases measures and;</w:t>
            </w:r>
          </w:p>
          <w:p w14:paraId="5CBD5AF2"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Accountability: Agreed reporting formats, and associated reporting procedures.</w:t>
            </w:r>
          </w:p>
          <w:p w14:paraId="6756E4CE" w14:textId="77777777" w:rsidR="007773A4" w:rsidRPr="007773A4" w:rsidRDefault="007773A4" w:rsidP="007773A4">
            <w:pPr>
              <w:rPr>
                <w:rFonts w:ascii="Calibri" w:hAnsi="Calibri" w:cs="Calibri"/>
                <w:sz w:val="16"/>
                <w:szCs w:val="16"/>
              </w:rPr>
            </w:pPr>
          </w:p>
          <w:p w14:paraId="0B94AC73"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lastRenderedPageBreak/>
              <w:t>VA to obtain: i) Signed Service Delivery Transfer Agreement; ii) FMS budget appropriation, and conduct assessment.</w:t>
            </w:r>
          </w:p>
        </w:tc>
        <w:tc>
          <w:tcPr>
            <w:tcW w:w="459" w:type="pct"/>
            <w:gridSpan w:val="2"/>
            <w:tcBorders>
              <w:top w:val="nil"/>
              <w:left w:val="nil"/>
              <w:bottom w:val="single" w:sz="8" w:space="0" w:color="auto"/>
              <w:right w:val="single" w:sz="8" w:space="0" w:color="auto"/>
            </w:tcBorders>
            <w:shd w:val="clear" w:color="auto" w:fill="auto"/>
            <w:vAlign w:val="center"/>
            <w:hideMark/>
          </w:tcPr>
          <w:p w14:paraId="61A863AF"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lastRenderedPageBreak/>
              <w:t>Yes</w:t>
            </w:r>
          </w:p>
        </w:tc>
        <w:tc>
          <w:tcPr>
            <w:tcW w:w="739" w:type="pct"/>
            <w:tcBorders>
              <w:top w:val="nil"/>
              <w:left w:val="nil"/>
              <w:bottom w:val="single" w:sz="8" w:space="0" w:color="auto"/>
              <w:right w:val="single" w:sz="8" w:space="0" w:color="auto"/>
            </w:tcBorders>
            <w:shd w:val="clear" w:color="auto" w:fill="auto"/>
            <w:hideMark/>
          </w:tcPr>
          <w:p w14:paraId="14051B5A"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FGS MoF, FMS MoF, FMS MoH</w:t>
            </w:r>
          </w:p>
        </w:tc>
        <w:tc>
          <w:tcPr>
            <w:tcW w:w="580" w:type="pct"/>
            <w:tcBorders>
              <w:top w:val="nil"/>
              <w:left w:val="nil"/>
              <w:bottom w:val="single" w:sz="8" w:space="0" w:color="auto"/>
              <w:right w:val="single" w:sz="8" w:space="0" w:color="auto"/>
            </w:tcBorders>
            <w:shd w:val="clear" w:color="auto" w:fill="auto"/>
            <w:vAlign w:val="center"/>
            <w:hideMark/>
          </w:tcPr>
          <w:p w14:paraId="22F6F8F4"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OAuG and FMs OAuG</w:t>
            </w:r>
          </w:p>
        </w:tc>
        <w:tc>
          <w:tcPr>
            <w:tcW w:w="610" w:type="pct"/>
            <w:tcBorders>
              <w:top w:val="nil"/>
              <w:left w:val="nil"/>
              <w:bottom w:val="single" w:sz="8" w:space="0" w:color="auto"/>
              <w:right w:val="single" w:sz="8" w:space="0" w:color="auto"/>
            </w:tcBorders>
            <w:shd w:val="clear" w:color="auto" w:fill="auto"/>
            <w:vAlign w:val="center"/>
            <w:hideMark/>
          </w:tcPr>
          <w:p w14:paraId="77B97763"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obtain documentation and undertake assessment</w:t>
            </w:r>
          </w:p>
        </w:tc>
      </w:tr>
      <w:tr w:rsidR="007773A4" w:rsidRPr="007773A4" w14:paraId="20763E72" w14:textId="77777777" w:rsidTr="007773A4">
        <w:trPr>
          <w:trHeight w:val="430"/>
        </w:trPr>
        <w:tc>
          <w:tcPr>
            <w:tcW w:w="1193" w:type="pct"/>
            <w:tcBorders>
              <w:top w:val="nil"/>
              <w:left w:val="single" w:sz="8" w:space="0" w:color="auto"/>
              <w:bottom w:val="single" w:sz="8" w:space="0" w:color="auto"/>
              <w:right w:val="single" w:sz="8" w:space="0" w:color="auto"/>
            </w:tcBorders>
            <w:shd w:val="clear" w:color="auto" w:fill="D9D9D9" w:themeFill="background1" w:themeFillShade="D9"/>
            <w:hideMark/>
          </w:tcPr>
          <w:p w14:paraId="4BE096C8" w14:textId="77777777" w:rsidR="007773A4" w:rsidRPr="007773A4" w:rsidRDefault="007773A4" w:rsidP="007773A4">
            <w:pPr>
              <w:rPr>
                <w:rFonts w:ascii="Calibri" w:hAnsi="Calibri" w:cs="Calibri"/>
                <w:sz w:val="16"/>
                <w:szCs w:val="16"/>
              </w:rPr>
            </w:pPr>
            <w:r w:rsidRPr="007773A4">
              <w:rPr>
                <w:rFonts w:ascii="Calibri" w:hAnsi="Calibri" w:cs="Calibri"/>
                <w:sz w:val="16"/>
                <w:szCs w:val="16"/>
                <w:lang w:eastAsia="ja-JP"/>
              </w:rPr>
              <w:lastRenderedPageBreak/>
              <w:t>6.2. The FMS have: (i) signed with FGS an updated Service Delivery Transfer Agreements (2021); and (ii) approved budgetary appropriations for FY 2021 allocating a net aggregate budgetary increase for their respective MoHs equal to the aggregated Allocated Amounts for PBCs #6.2; #6.3; #8.1 and #8.2. (Also applies to PBCs 6.4; &amp; 6.6.)</w:t>
            </w:r>
          </w:p>
        </w:tc>
        <w:tc>
          <w:tcPr>
            <w:tcW w:w="1419" w:type="pct"/>
            <w:tcBorders>
              <w:top w:val="nil"/>
              <w:left w:val="nil"/>
              <w:bottom w:val="single" w:sz="8" w:space="0" w:color="auto"/>
              <w:right w:val="single" w:sz="8" w:space="0" w:color="auto"/>
            </w:tcBorders>
            <w:shd w:val="clear" w:color="auto" w:fill="auto"/>
            <w:vAlign w:val="center"/>
            <w:hideMark/>
          </w:tcPr>
          <w:p w14:paraId="020541BD"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obtain: i) Signed Service Delivery Transfer Agreement; ii) FMS budget appropriation, and conduct assessment</w:t>
            </w:r>
          </w:p>
        </w:tc>
        <w:tc>
          <w:tcPr>
            <w:tcW w:w="459" w:type="pct"/>
            <w:gridSpan w:val="2"/>
            <w:tcBorders>
              <w:top w:val="nil"/>
              <w:left w:val="nil"/>
              <w:bottom w:val="single" w:sz="8" w:space="0" w:color="auto"/>
              <w:right w:val="single" w:sz="8" w:space="0" w:color="auto"/>
            </w:tcBorders>
            <w:shd w:val="clear" w:color="auto" w:fill="auto"/>
            <w:vAlign w:val="center"/>
            <w:hideMark/>
          </w:tcPr>
          <w:p w14:paraId="1EB7A34A"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Yes</w:t>
            </w:r>
          </w:p>
        </w:tc>
        <w:tc>
          <w:tcPr>
            <w:tcW w:w="739" w:type="pct"/>
            <w:tcBorders>
              <w:top w:val="nil"/>
              <w:left w:val="nil"/>
              <w:bottom w:val="single" w:sz="8" w:space="0" w:color="auto"/>
              <w:right w:val="single" w:sz="8" w:space="0" w:color="auto"/>
            </w:tcBorders>
            <w:shd w:val="clear" w:color="auto" w:fill="auto"/>
            <w:hideMark/>
          </w:tcPr>
          <w:p w14:paraId="06000722"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FGS MoF, FMS MoF, FMS MoH, FMS MoE</w:t>
            </w:r>
          </w:p>
        </w:tc>
        <w:tc>
          <w:tcPr>
            <w:tcW w:w="580" w:type="pct"/>
            <w:tcBorders>
              <w:top w:val="nil"/>
              <w:left w:val="nil"/>
              <w:bottom w:val="single" w:sz="8" w:space="0" w:color="auto"/>
              <w:right w:val="single" w:sz="8" w:space="0" w:color="auto"/>
            </w:tcBorders>
            <w:shd w:val="clear" w:color="auto" w:fill="auto"/>
            <w:vAlign w:val="center"/>
            <w:hideMark/>
          </w:tcPr>
          <w:p w14:paraId="4A1E6523"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OAuG and FMs OAuG</w:t>
            </w:r>
          </w:p>
        </w:tc>
        <w:tc>
          <w:tcPr>
            <w:tcW w:w="610" w:type="pct"/>
            <w:tcBorders>
              <w:top w:val="nil"/>
              <w:left w:val="nil"/>
              <w:bottom w:val="single" w:sz="8" w:space="0" w:color="auto"/>
              <w:right w:val="single" w:sz="8" w:space="0" w:color="auto"/>
            </w:tcBorders>
            <w:shd w:val="clear" w:color="auto" w:fill="auto"/>
            <w:vAlign w:val="center"/>
            <w:hideMark/>
          </w:tcPr>
          <w:p w14:paraId="0B1ADBFD"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obtain documentation and undertake assessment</w:t>
            </w:r>
          </w:p>
        </w:tc>
      </w:tr>
      <w:tr w:rsidR="007773A4" w:rsidRPr="007773A4" w14:paraId="4229E7AD" w14:textId="77777777" w:rsidTr="007773A4">
        <w:trPr>
          <w:trHeight w:val="850"/>
        </w:trPr>
        <w:tc>
          <w:tcPr>
            <w:tcW w:w="1193" w:type="pct"/>
            <w:tcBorders>
              <w:top w:val="nil"/>
              <w:left w:val="single" w:sz="8" w:space="0" w:color="auto"/>
              <w:bottom w:val="single" w:sz="8" w:space="0" w:color="auto"/>
              <w:right w:val="single" w:sz="8" w:space="0" w:color="auto"/>
            </w:tcBorders>
            <w:shd w:val="clear" w:color="auto" w:fill="D9D9D9" w:themeFill="background1" w:themeFillShade="D9"/>
            <w:hideMark/>
          </w:tcPr>
          <w:p w14:paraId="73466477" w14:textId="77777777" w:rsidR="007773A4" w:rsidRPr="007773A4" w:rsidRDefault="007773A4" w:rsidP="007773A4">
            <w:pPr>
              <w:rPr>
                <w:rFonts w:ascii="Calibri" w:hAnsi="Calibri" w:cs="Calibri"/>
                <w:sz w:val="16"/>
                <w:szCs w:val="16"/>
              </w:rPr>
            </w:pPr>
            <w:r w:rsidRPr="007773A4">
              <w:rPr>
                <w:rFonts w:ascii="Calibri" w:hAnsi="Calibri" w:cs="Calibri"/>
                <w:sz w:val="16"/>
                <w:szCs w:val="16"/>
                <w:lang w:eastAsia="ja-JP"/>
              </w:rPr>
              <w:t>6.3. The FMS have: (i) issued their respective implementation and financial reports on the use of federal (service) transfers covering FY 2020 and th</w:t>
            </w:r>
            <w:r w:rsidRPr="007773A4">
              <w:rPr>
                <w:rFonts w:ascii="Calibri" w:hAnsi="Calibri" w:cs="Calibri"/>
                <w:sz w:val="16"/>
                <w:szCs w:val="16"/>
                <w:vertAlign w:val="superscript"/>
                <w:lang w:eastAsia="ja-JP"/>
              </w:rPr>
              <w:t xml:space="preserve">e </w:t>
            </w:r>
            <w:r w:rsidRPr="007773A4">
              <w:rPr>
                <w:rFonts w:ascii="Calibri" w:hAnsi="Calibri" w:cs="Calibri"/>
                <w:sz w:val="16"/>
                <w:szCs w:val="16"/>
                <w:lang w:eastAsia="ja-JP"/>
              </w:rPr>
              <w:t>1st half of FY 2021 in line with provisions Service Delivery Transfer Agreements demonstrating release of funds to MoHs and MoEs; and (ii) submitted the same to MoF. (Also applies to PBC 6.5)</w:t>
            </w:r>
          </w:p>
        </w:tc>
        <w:tc>
          <w:tcPr>
            <w:tcW w:w="1419" w:type="pct"/>
            <w:tcBorders>
              <w:top w:val="nil"/>
              <w:left w:val="nil"/>
              <w:bottom w:val="single" w:sz="8" w:space="0" w:color="auto"/>
              <w:right w:val="single" w:sz="8" w:space="0" w:color="auto"/>
            </w:tcBorders>
            <w:shd w:val="clear" w:color="auto" w:fill="auto"/>
            <w:vAlign w:val="center"/>
            <w:hideMark/>
          </w:tcPr>
          <w:p w14:paraId="6E892D40"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obtain: i) Implementation and financial reports on use of Service Transfers; ii) FMS FMIS budget execution reports</w:t>
            </w:r>
          </w:p>
        </w:tc>
        <w:tc>
          <w:tcPr>
            <w:tcW w:w="459" w:type="pct"/>
            <w:gridSpan w:val="2"/>
            <w:tcBorders>
              <w:top w:val="nil"/>
              <w:left w:val="nil"/>
              <w:bottom w:val="single" w:sz="8" w:space="0" w:color="auto"/>
              <w:right w:val="single" w:sz="8" w:space="0" w:color="auto"/>
            </w:tcBorders>
            <w:shd w:val="clear" w:color="auto" w:fill="auto"/>
            <w:vAlign w:val="center"/>
            <w:hideMark/>
          </w:tcPr>
          <w:p w14:paraId="1F99F28D"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Yes</w:t>
            </w:r>
          </w:p>
        </w:tc>
        <w:tc>
          <w:tcPr>
            <w:tcW w:w="739" w:type="pct"/>
            <w:tcBorders>
              <w:top w:val="nil"/>
              <w:left w:val="nil"/>
              <w:bottom w:val="single" w:sz="8" w:space="0" w:color="auto"/>
              <w:right w:val="single" w:sz="8" w:space="0" w:color="auto"/>
            </w:tcBorders>
            <w:shd w:val="clear" w:color="auto" w:fill="auto"/>
            <w:hideMark/>
          </w:tcPr>
          <w:p w14:paraId="6FFAE043"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FGS MoF, FMS MoF, FMS MoH, FMS MoE</w:t>
            </w:r>
          </w:p>
        </w:tc>
        <w:tc>
          <w:tcPr>
            <w:tcW w:w="580" w:type="pct"/>
            <w:tcBorders>
              <w:top w:val="nil"/>
              <w:left w:val="nil"/>
              <w:bottom w:val="single" w:sz="8" w:space="0" w:color="auto"/>
              <w:right w:val="single" w:sz="8" w:space="0" w:color="auto"/>
            </w:tcBorders>
            <w:shd w:val="clear" w:color="auto" w:fill="auto"/>
            <w:vAlign w:val="center"/>
            <w:hideMark/>
          </w:tcPr>
          <w:p w14:paraId="067A70C4"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OAuG and FMs OAuG</w:t>
            </w:r>
          </w:p>
        </w:tc>
        <w:tc>
          <w:tcPr>
            <w:tcW w:w="610" w:type="pct"/>
            <w:tcBorders>
              <w:top w:val="nil"/>
              <w:left w:val="nil"/>
              <w:bottom w:val="single" w:sz="8" w:space="0" w:color="auto"/>
              <w:right w:val="single" w:sz="8" w:space="0" w:color="auto"/>
            </w:tcBorders>
            <w:shd w:val="clear" w:color="auto" w:fill="auto"/>
            <w:vAlign w:val="center"/>
            <w:hideMark/>
          </w:tcPr>
          <w:p w14:paraId="2244BD96"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obtain documentation and undertake assessment</w:t>
            </w:r>
          </w:p>
        </w:tc>
      </w:tr>
      <w:tr w:rsidR="007773A4" w:rsidRPr="007773A4" w14:paraId="76C1AB35" w14:textId="77777777" w:rsidTr="007773A4">
        <w:trPr>
          <w:trHeight w:val="220"/>
        </w:trPr>
        <w:tc>
          <w:tcPr>
            <w:tcW w:w="5000" w:type="pct"/>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5CA9BCED" w14:textId="77777777" w:rsidR="007773A4" w:rsidRPr="007773A4" w:rsidRDefault="007773A4" w:rsidP="007773A4">
            <w:pPr>
              <w:rPr>
                <w:rFonts w:ascii="Calibri" w:hAnsi="Calibri" w:cs="Calibri"/>
                <w:b/>
                <w:bCs/>
                <w:sz w:val="16"/>
                <w:szCs w:val="16"/>
              </w:rPr>
            </w:pPr>
            <w:r w:rsidRPr="007773A4">
              <w:rPr>
                <w:rFonts w:ascii="Calibri" w:hAnsi="Calibri"/>
                <w:b/>
                <w:bCs/>
                <w:sz w:val="16"/>
                <w:szCs w:val="16"/>
              </w:rPr>
              <w:t xml:space="preserve">7. </w:t>
            </w:r>
            <w:r w:rsidRPr="007773A4">
              <w:rPr>
                <w:rFonts w:ascii="Calibri" w:eastAsia="Calibri" w:hAnsi="Calibri" w:cs="Calibri"/>
                <w:b/>
                <w:bCs/>
                <w:sz w:val="16"/>
                <w:szCs w:val="16"/>
              </w:rPr>
              <w:t>Strengthen education service delivery</w:t>
            </w:r>
          </w:p>
        </w:tc>
      </w:tr>
      <w:tr w:rsidR="007773A4" w:rsidRPr="007773A4" w14:paraId="668F9F25" w14:textId="77777777" w:rsidTr="007773A4">
        <w:trPr>
          <w:trHeight w:val="640"/>
        </w:trPr>
        <w:tc>
          <w:tcPr>
            <w:tcW w:w="1193" w:type="pct"/>
            <w:tcBorders>
              <w:top w:val="nil"/>
              <w:left w:val="single" w:sz="8" w:space="0" w:color="auto"/>
              <w:bottom w:val="single" w:sz="8" w:space="0" w:color="auto"/>
              <w:right w:val="single" w:sz="8" w:space="0" w:color="auto"/>
            </w:tcBorders>
            <w:shd w:val="clear" w:color="auto" w:fill="D9D9D9" w:themeFill="background1" w:themeFillShade="D9"/>
            <w:hideMark/>
          </w:tcPr>
          <w:p w14:paraId="7ED20BA8" w14:textId="77777777" w:rsidR="007773A4" w:rsidRPr="007773A4" w:rsidRDefault="007773A4" w:rsidP="007773A4">
            <w:pPr>
              <w:rPr>
                <w:rFonts w:ascii="Calibri" w:hAnsi="Calibri" w:cs="Calibri"/>
                <w:sz w:val="16"/>
                <w:szCs w:val="16"/>
              </w:rPr>
            </w:pPr>
            <w:r w:rsidRPr="007773A4">
              <w:rPr>
                <w:rFonts w:ascii="Calibri" w:hAnsi="Calibri" w:cs="Calibri"/>
                <w:sz w:val="16"/>
                <w:szCs w:val="16"/>
                <w:lang w:eastAsia="ja-JP"/>
              </w:rPr>
              <w:t>7.1. Each FMS has adopted a Performance-Based School Grants policy.</w:t>
            </w:r>
          </w:p>
        </w:tc>
        <w:tc>
          <w:tcPr>
            <w:tcW w:w="1419" w:type="pct"/>
            <w:tcBorders>
              <w:top w:val="nil"/>
              <w:left w:val="nil"/>
              <w:bottom w:val="single" w:sz="8" w:space="0" w:color="auto"/>
              <w:right w:val="single" w:sz="8" w:space="0" w:color="auto"/>
            </w:tcBorders>
            <w:shd w:val="clear" w:color="auto" w:fill="auto"/>
            <w:vAlign w:val="center"/>
            <w:hideMark/>
          </w:tcPr>
          <w:p w14:paraId="5B163287"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Performance-Based School Grants policy to comprise:</w:t>
            </w:r>
          </w:p>
          <w:p w14:paraId="7D9D40AD"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Basic quality standards to be achieved;</w:t>
            </w:r>
          </w:p>
          <w:p w14:paraId="14C732AC"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School entitlement;</w:t>
            </w:r>
          </w:p>
          <w:p w14:paraId="38EFB3D8"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Fiduciary guidelines, and;</w:t>
            </w:r>
          </w:p>
          <w:p w14:paraId="5ED34A9F"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Reporting requirements.</w:t>
            </w:r>
          </w:p>
          <w:p w14:paraId="6AE297D7" w14:textId="77777777" w:rsidR="007773A4" w:rsidRPr="007773A4" w:rsidRDefault="007773A4" w:rsidP="007773A4">
            <w:pPr>
              <w:rPr>
                <w:rFonts w:ascii="Calibri" w:hAnsi="Calibri" w:cs="Calibri"/>
                <w:sz w:val="16"/>
                <w:szCs w:val="16"/>
              </w:rPr>
            </w:pPr>
          </w:p>
          <w:p w14:paraId="11E80A65"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obtain School Performance Grant Policy.</w:t>
            </w:r>
          </w:p>
        </w:tc>
        <w:tc>
          <w:tcPr>
            <w:tcW w:w="459" w:type="pct"/>
            <w:gridSpan w:val="2"/>
            <w:tcBorders>
              <w:top w:val="nil"/>
              <w:left w:val="nil"/>
              <w:bottom w:val="single" w:sz="8" w:space="0" w:color="auto"/>
              <w:right w:val="single" w:sz="8" w:space="0" w:color="auto"/>
            </w:tcBorders>
            <w:shd w:val="clear" w:color="auto" w:fill="auto"/>
            <w:vAlign w:val="center"/>
            <w:hideMark/>
          </w:tcPr>
          <w:p w14:paraId="0DE37EC4"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Yes</w:t>
            </w:r>
          </w:p>
        </w:tc>
        <w:tc>
          <w:tcPr>
            <w:tcW w:w="739" w:type="pct"/>
            <w:tcBorders>
              <w:top w:val="nil"/>
              <w:left w:val="nil"/>
              <w:bottom w:val="single" w:sz="8" w:space="0" w:color="auto"/>
              <w:right w:val="single" w:sz="8" w:space="0" w:color="auto"/>
            </w:tcBorders>
            <w:shd w:val="clear" w:color="auto" w:fill="auto"/>
            <w:hideMark/>
          </w:tcPr>
          <w:p w14:paraId="6B82CFE9"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FMS MoE, FMS MoF</w:t>
            </w:r>
          </w:p>
        </w:tc>
        <w:tc>
          <w:tcPr>
            <w:tcW w:w="580" w:type="pct"/>
            <w:tcBorders>
              <w:top w:val="nil"/>
              <w:left w:val="nil"/>
              <w:bottom w:val="single" w:sz="8" w:space="0" w:color="auto"/>
              <w:right w:val="single" w:sz="8" w:space="0" w:color="auto"/>
            </w:tcBorders>
            <w:shd w:val="clear" w:color="auto" w:fill="auto"/>
            <w:vAlign w:val="center"/>
            <w:hideMark/>
          </w:tcPr>
          <w:p w14:paraId="146F0C04"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OAuG and FMs OAuG</w:t>
            </w:r>
          </w:p>
        </w:tc>
        <w:tc>
          <w:tcPr>
            <w:tcW w:w="610" w:type="pct"/>
            <w:tcBorders>
              <w:top w:val="nil"/>
              <w:left w:val="nil"/>
              <w:bottom w:val="single" w:sz="8" w:space="0" w:color="auto"/>
              <w:right w:val="single" w:sz="8" w:space="0" w:color="auto"/>
            </w:tcBorders>
            <w:shd w:val="clear" w:color="auto" w:fill="auto"/>
            <w:vAlign w:val="center"/>
            <w:hideMark/>
          </w:tcPr>
          <w:p w14:paraId="032CBE5D"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obtain documentation and undertake assessment</w:t>
            </w:r>
          </w:p>
        </w:tc>
      </w:tr>
      <w:tr w:rsidR="007773A4" w:rsidRPr="007773A4" w14:paraId="211C1253" w14:textId="77777777" w:rsidTr="007773A4">
        <w:trPr>
          <w:trHeight w:val="640"/>
        </w:trPr>
        <w:tc>
          <w:tcPr>
            <w:tcW w:w="1193" w:type="pct"/>
            <w:tcBorders>
              <w:top w:val="nil"/>
              <w:left w:val="single" w:sz="8" w:space="0" w:color="auto"/>
              <w:bottom w:val="single" w:sz="8" w:space="0" w:color="auto"/>
              <w:right w:val="single" w:sz="8" w:space="0" w:color="auto"/>
            </w:tcBorders>
            <w:shd w:val="clear" w:color="auto" w:fill="D9D9D9" w:themeFill="background1" w:themeFillShade="D9"/>
            <w:hideMark/>
          </w:tcPr>
          <w:p w14:paraId="2ED93279" w14:textId="77777777" w:rsidR="007773A4" w:rsidRPr="007773A4" w:rsidRDefault="007773A4" w:rsidP="007773A4">
            <w:pPr>
              <w:rPr>
                <w:rFonts w:ascii="Calibri" w:hAnsi="Calibri" w:cs="Calibri"/>
                <w:sz w:val="16"/>
                <w:szCs w:val="16"/>
              </w:rPr>
            </w:pPr>
            <w:r w:rsidRPr="007773A4">
              <w:rPr>
                <w:rFonts w:ascii="Calibri" w:hAnsi="Calibri" w:cs="Calibri"/>
                <w:sz w:val="16"/>
                <w:szCs w:val="16"/>
                <w:lang w:eastAsia="ja-JP"/>
              </w:rPr>
              <w:t>7.2. Each FMS has: (i) maintained a Performance-Based School Grants policy for the financing of recurrent costs; and (ii) approved aggregate FY 2022 budgetary appropriations for MoEs’ Performance-Based School Grants equal to half the aggregated Allocated Amounts for PBCs #6.4; #6.5; #7.2; #7.3; #8.3 and #8.4. (Also applies to PBC 7.4)</w:t>
            </w:r>
          </w:p>
        </w:tc>
        <w:tc>
          <w:tcPr>
            <w:tcW w:w="1419" w:type="pct"/>
            <w:tcBorders>
              <w:top w:val="nil"/>
              <w:left w:val="nil"/>
              <w:bottom w:val="single" w:sz="8" w:space="0" w:color="auto"/>
              <w:right w:val="single" w:sz="8" w:space="0" w:color="auto"/>
            </w:tcBorders>
            <w:shd w:val="clear" w:color="auto" w:fill="auto"/>
            <w:vAlign w:val="center"/>
            <w:hideMark/>
          </w:tcPr>
          <w:p w14:paraId="5D72293E"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obtain: i) Signed Service Delivery Agreement; ii) FMS FMIS reports; iii) FMS MoE financial reports; iii) sample of school-level financial reports</w:t>
            </w:r>
          </w:p>
        </w:tc>
        <w:tc>
          <w:tcPr>
            <w:tcW w:w="459" w:type="pct"/>
            <w:gridSpan w:val="2"/>
            <w:tcBorders>
              <w:top w:val="nil"/>
              <w:left w:val="nil"/>
              <w:bottom w:val="single" w:sz="8" w:space="0" w:color="auto"/>
              <w:right w:val="single" w:sz="8" w:space="0" w:color="auto"/>
            </w:tcBorders>
            <w:shd w:val="clear" w:color="auto" w:fill="auto"/>
            <w:vAlign w:val="center"/>
            <w:hideMark/>
          </w:tcPr>
          <w:p w14:paraId="7FA50ED4"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Yes</w:t>
            </w:r>
          </w:p>
        </w:tc>
        <w:tc>
          <w:tcPr>
            <w:tcW w:w="739" w:type="pct"/>
            <w:tcBorders>
              <w:top w:val="nil"/>
              <w:left w:val="nil"/>
              <w:bottom w:val="single" w:sz="8" w:space="0" w:color="auto"/>
              <w:right w:val="single" w:sz="8" w:space="0" w:color="auto"/>
            </w:tcBorders>
            <w:shd w:val="clear" w:color="auto" w:fill="auto"/>
            <w:hideMark/>
          </w:tcPr>
          <w:p w14:paraId="7A36DD03"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FMS MoE, FMS MoF, participating schools</w:t>
            </w:r>
          </w:p>
        </w:tc>
        <w:tc>
          <w:tcPr>
            <w:tcW w:w="580" w:type="pct"/>
            <w:tcBorders>
              <w:top w:val="nil"/>
              <w:left w:val="nil"/>
              <w:bottom w:val="single" w:sz="8" w:space="0" w:color="auto"/>
              <w:right w:val="single" w:sz="8" w:space="0" w:color="auto"/>
            </w:tcBorders>
            <w:shd w:val="clear" w:color="auto" w:fill="auto"/>
            <w:vAlign w:val="center"/>
            <w:hideMark/>
          </w:tcPr>
          <w:p w14:paraId="25C9C1FD"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OAuG and FMs OAuG</w:t>
            </w:r>
          </w:p>
        </w:tc>
        <w:tc>
          <w:tcPr>
            <w:tcW w:w="610" w:type="pct"/>
            <w:tcBorders>
              <w:top w:val="nil"/>
              <w:left w:val="nil"/>
              <w:bottom w:val="single" w:sz="8" w:space="0" w:color="auto"/>
              <w:right w:val="single" w:sz="8" w:space="0" w:color="auto"/>
            </w:tcBorders>
            <w:shd w:val="clear" w:color="auto" w:fill="auto"/>
            <w:vAlign w:val="center"/>
            <w:hideMark/>
          </w:tcPr>
          <w:p w14:paraId="4823D12A"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obtain documentation and undertake assessment</w:t>
            </w:r>
          </w:p>
        </w:tc>
      </w:tr>
      <w:tr w:rsidR="007773A4" w:rsidRPr="007773A4" w14:paraId="2982673A" w14:textId="77777777" w:rsidTr="007773A4">
        <w:trPr>
          <w:trHeight w:val="640"/>
        </w:trPr>
        <w:tc>
          <w:tcPr>
            <w:tcW w:w="1193" w:type="pct"/>
            <w:tcBorders>
              <w:top w:val="nil"/>
              <w:left w:val="single" w:sz="8" w:space="0" w:color="auto"/>
              <w:bottom w:val="single" w:sz="8" w:space="0" w:color="auto"/>
              <w:right w:val="single" w:sz="8" w:space="0" w:color="auto"/>
            </w:tcBorders>
            <w:shd w:val="clear" w:color="auto" w:fill="D9D9D9" w:themeFill="background1" w:themeFillShade="D9"/>
          </w:tcPr>
          <w:p w14:paraId="4CF7BA5E" w14:textId="77777777" w:rsidR="007773A4" w:rsidRPr="007773A4" w:rsidRDefault="007773A4" w:rsidP="007773A4">
            <w:pPr>
              <w:rPr>
                <w:rFonts w:ascii="Calibri" w:hAnsi="Calibri" w:cs="Calibri"/>
                <w:sz w:val="16"/>
                <w:szCs w:val="16"/>
                <w:lang w:eastAsia="ja-JP"/>
              </w:rPr>
            </w:pPr>
            <w:r w:rsidRPr="007773A4">
              <w:rPr>
                <w:rFonts w:ascii="Calibri" w:hAnsi="Calibri" w:cs="Calibri"/>
                <w:sz w:val="16"/>
                <w:szCs w:val="16"/>
                <w:lang w:eastAsia="ja-JP"/>
              </w:rPr>
              <w:t xml:space="preserve">7.3. All Payroll Supported Schools in the FMS with signed Performance-Based School Grants Agreements have received annual Performance Based School Grants in a timely manner, as per the signed agreements. </w:t>
            </w:r>
          </w:p>
        </w:tc>
        <w:tc>
          <w:tcPr>
            <w:tcW w:w="1419" w:type="pct"/>
            <w:tcBorders>
              <w:top w:val="nil"/>
              <w:left w:val="nil"/>
              <w:bottom w:val="single" w:sz="8" w:space="0" w:color="auto"/>
              <w:right w:val="single" w:sz="8" w:space="0" w:color="auto"/>
            </w:tcBorders>
            <w:shd w:val="clear" w:color="auto" w:fill="auto"/>
            <w:vAlign w:val="center"/>
          </w:tcPr>
          <w:p w14:paraId="56B5752C"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obtain: i) Signed Service Delivery Agreement; ii) FMS FMIS reports; iii) FMS MoE financial reports; iii) sample of school-level financial reports</w:t>
            </w:r>
          </w:p>
        </w:tc>
        <w:tc>
          <w:tcPr>
            <w:tcW w:w="459" w:type="pct"/>
            <w:gridSpan w:val="2"/>
            <w:tcBorders>
              <w:top w:val="nil"/>
              <w:left w:val="nil"/>
              <w:bottom w:val="single" w:sz="8" w:space="0" w:color="auto"/>
              <w:right w:val="single" w:sz="8" w:space="0" w:color="auto"/>
            </w:tcBorders>
            <w:shd w:val="clear" w:color="auto" w:fill="auto"/>
            <w:vAlign w:val="center"/>
          </w:tcPr>
          <w:p w14:paraId="0A5D0EB3"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Yes</w:t>
            </w:r>
          </w:p>
        </w:tc>
        <w:tc>
          <w:tcPr>
            <w:tcW w:w="739" w:type="pct"/>
            <w:tcBorders>
              <w:top w:val="nil"/>
              <w:left w:val="nil"/>
              <w:bottom w:val="single" w:sz="8" w:space="0" w:color="auto"/>
              <w:right w:val="single" w:sz="8" w:space="0" w:color="auto"/>
            </w:tcBorders>
            <w:shd w:val="clear" w:color="auto" w:fill="auto"/>
          </w:tcPr>
          <w:p w14:paraId="2F09AA37"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FMS MoE, FMS MoF, participating schools</w:t>
            </w:r>
          </w:p>
        </w:tc>
        <w:tc>
          <w:tcPr>
            <w:tcW w:w="580" w:type="pct"/>
            <w:tcBorders>
              <w:top w:val="nil"/>
              <w:left w:val="nil"/>
              <w:bottom w:val="single" w:sz="8" w:space="0" w:color="auto"/>
              <w:right w:val="single" w:sz="8" w:space="0" w:color="auto"/>
            </w:tcBorders>
            <w:shd w:val="clear" w:color="auto" w:fill="auto"/>
            <w:vAlign w:val="center"/>
          </w:tcPr>
          <w:p w14:paraId="20D3DADF"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OAuG and FMs OAuG</w:t>
            </w:r>
          </w:p>
        </w:tc>
        <w:tc>
          <w:tcPr>
            <w:tcW w:w="610" w:type="pct"/>
            <w:tcBorders>
              <w:top w:val="nil"/>
              <w:left w:val="nil"/>
              <w:bottom w:val="single" w:sz="8" w:space="0" w:color="auto"/>
              <w:right w:val="single" w:sz="8" w:space="0" w:color="auto"/>
            </w:tcBorders>
            <w:shd w:val="clear" w:color="auto" w:fill="auto"/>
            <w:vAlign w:val="center"/>
          </w:tcPr>
          <w:p w14:paraId="7A805D26"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obtain documentation and undertake assessment</w:t>
            </w:r>
          </w:p>
        </w:tc>
      </w:tr>
      <w:tr w:rsidR="007773A4" w:rsidRPr="007773A4" w14:paraId="59FB482E" w14:textId="77777777" w:rsidTr="007773A4">
        <w:trPr>
          <w:trHeight w:val="220"/>
        </w:trPr>
        <w:tc>
          <w:tcPr>
            <w:tcW w:w="5000" w:type="pct"/>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0ABEEF9E" w14:textId="77777777" w:rsidR="007773A4" w:rsidRPr="007773A4" w:rsidRDefault="007773A4" w:rsidP="007773A4">
            <w:pPr>
              <w:rPr>
                <w:rFonts w:ascii="Calibri" w:hAnsi="Calibri" w:cs="Calibri"/>
                <w:b/>
                <w:bCs/>
                <w:sz w:val="16"/>
                <w:szCs w:val="16"/>
              </w:rPr>
            </w:pPr>
            <w:r w:rsidRPr="007773A4">
              <w:rPr>
                <w:rFonts w:ascii="Calibri" w:hAnsi="Calibri" w:cs="Calibri"/>
                <w:b/>
                <w:bCs/>
                <w:sz w:val="16"/>
                <w:szCs w:val="16"/>
              </w:rPr>
              <w:lastRenderedPageBreak/>
              <w:t xml:space="preserve">8. </w:t>
            </w:r>
            <w:r w:rsidRPr="007773A4">
              <w:rPr>
                <w:rFonts w:ascii="Calibri" w:eastAsia="Calibri" w:hAnsi="Calibri" w:cs="Calibri"/>
                <w:b/>
                <w:bCs/>
                <w:sz w:val="16"/>
                <w:szCs w:val="16"/>
              </w:rPr>
              <w:t>Strengthen health service delivery:</w:t>
            </w:r>
          </w:p>
        </w:tc>
      </w:tr>
      <w:tr w:rsidR="007773A4" w:rsidRPr="007773A4" w14:paraId="2EC4A1BB" w14:textId="77777777" w:rsidTr="007773A4">
        <w:trPr>
          <w:trHeight w:val="640"/>
        </w:trPr>
        <w:tc>
          <w:tcPr>
            <w:tcW w:w="1193" w:type="pct"/>
            <w:tcBorders>
              <w:top w:val="nil"/>
              <w:left w:val="single" w:sz="8" w:space="0" w:color="auto"/>
              <w:bottom w:val="single" w:sz="8" w:space="0" w:color="auto"/>
              <w:right w:val="single" w:sz="8" w:space="0" w:color="auto"/>
            </w:tcBorders>
            <w:shd w:val="clear" w:color="auto" w:fill="D9D9D9" w:themeFill="background1" w:themeFillShade="D9"/>
            <w:hideMark/>
          </w:tcPr>
          <w:p w14:paraId="180CE701" w14:textId="77777777" w:rsidR="007773A4" w:rsidRPr="007773A4" w:rsidRDefault="007773A4" w:rsidP="007773A4">
            <w:pPr>
              <w:rPr>
                <w:rFonts w:ascii="Calibri" w:hAnsi="Calibri" w:cs="Calibri"/>
                <w:sz w:val="16"/>
                <w:szCs w:val="16"/>
              </w:rPr>
            </w:pPr>
            <w:r w:rsidRPr="007773A4">
              <w:rPr>
                <w:rFonts w:ascii="Calibri" w:hAnsi="Calibri" w:cs="Calibri"/>
                <w:sz w:val="16"/>
                <w:szCs w:val="16"/>
                <w:lang w:eastAsia="ja-JP"/>
              </w:rPr>
              <w:t>8.1. The FMS have: (i) adopted annual community health service delivery plans, including infectious disease measures for FY 2021; and (ii) approved MoHs’ FY 2021 budgetary appropriations for community health service delivery for an amount equal to the aggregated Allocated Amounts for PBCs #6.2; #6.3; #8.1. and #8.2. (Also applies to PBCs 8.3; and 8.5.)</w:t>
            </w:r>
          </w:p>
        </w:tc>
        <w:tc>
          <w:tcPr>
            <w:tcW w:w="1419" w:type="pct"/>
            <w:tcBorders>
              <w:top w:val="nil"/>
              <w:left w:val="nil"/>
              <w:bottom w:val="single" w:sz="8" w:space="0" w:color="auto"/>
              <w:right w:val="single" w:sz="8" w:space="0" w:color="auto"/>
            </w:tcBorders>
            <w:shd w:val="clear" w:color="auto" w:fill="auto"/>
            <w:vAlign w:val="center"/>
            <w:hideMark/>
          </w:tcPr>
          <w:p w14:paraId="4206C01E"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Annual Community Health Service Delivery Plan to Comprise:</w:t>
            </w:r>
          </w:p>
          <w:p w14:paraId="180525ED"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Plan for expansion of coverage of FHWs and HR plan for staff to support FHWs (e.g., M&amp;E staff, supervisors);</w:t>
            </w:r>
          </w:p>
          <w:p w14:paraId="188CC593"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Training plan;</w:t>
            </w:r>
          </w:p>
          <w:p w14:paraId="6B844F06"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Description of supportive supervision procedures;</w:t>
            </w:r>
          </w:p>
          <w:p w14:paraId="4DD882FA"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Description of supply chain procedures;</w:t>
            </w:r>
          </w:p>
          <w:p w14:paraId="06259CF2"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Community engagement and mobilization;</w:t>
            </w:r>
          </w:p>
          <w:p w14:paraId="6C02A782"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Monitoring plan;</w:t>
            </w:r>
          </w:p>
          <w:p w14:paraId="3CE11DE3"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Partner / Government coordination plan;</w:t>
            </w:r>
          </w:p>
          <w:p w14:paraId="23446A74"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Description of how all activities will be adapted for COVID-19 / infectious diseases;</w:t>
            </w:r>
          </w:p>
          <w:p w14:paraId="12B4A794"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Timeline, costing of activities, key milestones, and FM procedures, and;</w:t>
            </w:r>
          </w:p>
          <w:p w14:paraId="378D9E86"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 Consistency with the FHW compendium.</w:t>
            </w:r>
          </w:p>
          <w:p w14:paraId="4F0758A4" w14:textId="77777777" w:rsidR="007773A4" w:rsidRPr="007773A4" w:rsidRDefault="007773A4" w:rsidP="007773A4">
            <w:pPr>
              <w:rPr>
                <w:rFonts w:ascii="Calibri" w:hAnsi="Calibri" w:cs="Calibri"/>
                <w:sz w:val="16"/>
                <w:szCs w:val="16"/>
              </w:rPr>
            </w:pPr>
          </w:p>
          <w:p w14:paraId="67E05CE0"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and HTP to obtain: i) Service Delivery Transfer Agreement; ii) FMS budget appropriation.</w:t>
            </w:r>
          </w:p>
        </w:tc>
        <w:tc>
          <w:tcPr>
            <w:tcW w:w="455" w:type="pct"/>
            <w:tcBorders>
              <w:top w:val="nil"/>
              <w:left w:val="nil"/>
              <w:bottom w:val="single" w:sz="8" w:space="0" w:color="auto"/>
              <w:right w:val="single" w:sz="8" w:space="0" w:color="auto"/>
            </w:tcBorders>
            <w:shd w:val="clear" w:color="auto" w:fill="auto"/>
            <w:vAlign w:val="center"/>
            <w:hideMark/>
          </w:tcPr>
          <w:p w14:paraId="2557DA4A"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Yes</w:t>
            </w:r>
          </w:p>
        </w:tc>
        <w:tc>
          <w:tcPr>
            <w:tcW w:w="743" w:type="pct"/>
            <w:gridSpan w:val="2"/>
            <w:tcBorders>
              <w:top w:val="nil"/>
              <w:left w:val="nil"/>
              <w:bottom w:val="single" w:sz="8" w:space="0" w:color="auto"/>
              <w:right w:val="single" w:sz="8" w:space="0" w:color="auto"/>
            </w:tcBorders>
            <w:shd w:val="clear" w:color="auto" w:fill="auto"/>
            <w:hideMark/>
          </w:tcPr>
          <w:p w14:paraId="365E055A"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FMS MoH, FMS MoF</w:t>
            </w:r>
          </w:p>
        </w:tc>
        <w:tc>
          <w:tcPr>
            <w:tcW w:w="580" w:type="pct"/>
            <w:tcBorders>
              <w:top w:val="nil"/>
              <w:left w:val="nil"/>
              <w:bottom w:val="single" w:sz="8" w:space="0" w:color="auto"/>
              <w:right w:val="single" w:sz="8" w:space="0" w:color="auto"/>
            </w:tcBorders>
            <w:shd w:val="clear" w:color="auto" w:fill="auto"/>
            <w:vAlign w:val="center"/>
            <w:hideMark/>
          </w:tcPr>
          <w:p w14:paraId="50001793"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OAuG and FMs OAuG</w:t>
            </w:r>
          </w:p>
        </w:tc>
        <w:tc>
          <w:tcPr>
            <w:tcW w:w="610" w:type="pct"/>
            <w:tcBorders>
              <w:top w:val="nil"/>
              <w:left w:val="nil"/>
              <w:bottom w:val="single" w:sz="8" w:space="0" w:color="auto"/>
              <w:right w:val="single" w:sz="8" w:space="0" w:color="auto"/>
            </w:tcBorders>
            <w:shd w:val="clear" w:color="auto" w:fill="auto"/>
            <w:vAlign w:val="center"/>
            <w:hideMark/>
          </w:tcPr>
          <w:p w14:paraId="2E953FFD"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obtain documentation and undertake assessment</w:t>
            </w:r>
          </w:p>
        </w:tc>
      </w:tr>
      <w:tr w:rsidR="007773A4" w:rsidRPr="007773A4" w14:paraId="5A6CD94E" w14:textId="77777777" w:rsidTr="007773A4">
        <w:trPr>
          <w:trHeight w:val="850"/>
        </w:trPr>
        <w:tc>
          <w:tcPr>
            <w:tcW w:w="1193" w:type="pct"/>
            <w:tcBorders>
              <w:top w:val="nil"/>
              <w:left w:val="single" w:sz="8" w:space="0" w:color="auto"/>
              <w:bottom w:val="single" w:sz="8" w:space="0" w:color="auto"/>
              <w:right w:val="single" w:sz="8" w:space="0" w:color="auto"/>
            </w:tcBorders>
            <w:shd w:val="clear" w:color="auto" w:fill="D9D9D9" w:themeFill="background1" w:themeFillShade="D9"/>
            <w:hideMark/>
          </w:tcPr>
          <w:p w14:paraId="487D4E16" w14:textId="77777777" w:rsidR="007773A4" w:rsidRPr="007773A4" w:rsidRDefault="007773A4" w:rsidP="007773A4">
            <w:pPr>
              <w:rPr>
                <w:rFonts w:ascii="Calibri" w:hAnsi="Calibri" w:cs="Calibri"/>
                <w:sz w:val="16"/>
                <w:szCs w:val="16"/>
              </w:rPr>
            </w:pPr>
            <w:r w:rsidRPr="007773A4">
              <w:rPr>
                <w:rFonts w:ascii="Calibri" w:hAnsi="Calibri" w:cs="Calibri"/>
                <w:sz w:val="16"/>
                <w:szCs w:val="16"/>
                <w:lang w:eastAsia="ja-JP"/>
              </w:rPr>
              <w:t>8.2. The FMS have executed the community health service delivery plans for FY 2021 in a timely manner, as per the signed Service Delivery Transfer Agreements. (Also applies to PBC 8.4.)</w:t>
            </w:r>
          </w:p>
        </w:tc>
        <w:tc>
          <w:tcPr>
            <w:tcW w:w="1419" w:type="pct"/>
            <w:tcBorders>
              <w:top w:val="nil"/>
              <w:left w:val="nil"/>
              <w:bottom w:val="single" w:sz="8" w:space="0" w:color="auto"/>
              <w:right w:val="single" w:sz="8" w:space="0" w:color="auto"/>
            </w:tcBorders>
            <w:shd w:val="clear" w:color="auto" w:fill="auto"/>
            <w:vAlign w:val="center"/>
            <w:hideMark/>
          </w:tcPr>
          <w:p w14:paraId="0A2982F4"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and HTP to obtain: i) Service Delivery Agreement; ii) FMS budget appropriation; iii) FMS Community Health Service Delivery Plan; iv) FMS FMIS reports; v) MoH financial reports</w:t>
            </w:r>
          </w:p>
        </w:tc>
        <w:tc>
          <w:tcPr>
            <w:tcW w:w="455" w:type="pct"/>
            <w:tcBorders>
              <w:top w:val="nil"/>
              <w:left w:val="nil"/>
              <w:bottom w:val="single" w:sz="8" w:space="0" w:color="auto"/>
              <w:right w:val="single" w:sz="8" w:space="0" w:color="auto"/>
            </w:tcBorders>
            <w:shd w:val="clear" w:color="auto" w:fill="auto"/>
            <w:vAlign w:val="center"/>
            <w:hideMark/>
          </w:tcPr>
          <w:p w14:paraId="75917FC3"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Yes</w:t>
            </w:r>
          </w:p>
        </w:tc>
        <w:tc>
          <w:tcPr>
            <w:tcW w:w="743" w:type="pct"/>
            <w:gridSpan w:val="2"/>
            <w:tcBorders>
              <w:top w:val="nil"/>
              <w:left w:val="nil"/>
              <w:bottom w:val="single" w:sz="8" w:space="0" w:color="auto"/>
              <w:right w:val="single" w:sz="8" w:space="0" w:color="auto"/>
            </w:tcBorders>
            <w:shd w:val="clear" w:color="auto" w:fill="auto"/>
            <w:hideMark/>
          </w:tcPr>
          <w:p w14:paraId="69DF53B9"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FMS MoH, FMS MoF</w:t>
            </w:r>
          </w:p>
        </w:tc>
        <w:tc>
          <w:tcPr>
            <w:tcW w:w="580" w:type="pct"/>
            <w:tcBorders>
              <w:top w:val="nil"/>
              <w:left w:val="nil"/>
              <w:bottom w:val="single" w:sz="8" w:space="0" w:color="auto"/>
              <w:right w:val="single" w:sz="8" w:space="0" w:color="auto"/>
            </w:tcBorders>
            <w:shd w:val="clear" w:color="auto" w:fill="auto"/>
            <w:vAlign w:val="center"/>
            <w:hideMark/>
          </w:tcPr>
          <w:p w14:paraId="379BD206"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OAuG and FMs OAuG</w:t>
            </w:r>
          </w:p>
        </w:tc>
        <w:tc>
          <w:tcPr>
            <w:tcW w:w="610" w:type="pct"/>
            <w:tcBorders>
              <w:top w:val="nil"/>
              <w:left w:val="nil"/>
              <w:bottom w:val="single" w:sz="8" w:space="0" w:color="auto"/>
              <w:right w:val="single" w:sz="8" w:space="0" w:color="auto"/>
            </w:tcBorders>
            <w:shd w:val="clear" w:color="auto" w:fill="auto"/>
            <w:vAlign w:val="center"/>
            <w:hideMark/>
          </w:tcPr>
          <w:p w14:paraId="6FD506A5" w14:textId="77777777" w:rsidR="007773A4" w:rsidRPr="007773A4" w:rsidRDefault="007773A4" w:rsidP="007773A4">
            <w:pPr>
              <w:rPr>
                <w:rFonts w:ascii="Calibri" w:hAnsi="Calibri" w:cs="Calibri"/>
                <w:sz w:val="16"/>
                <w:szCs w:val="16"/>
              </w:rPr>
            </w:pPr>
            <w:r w:rsidRPr="007773A4">
              <w:rPr>
                <w:rFonts w:ascii="Calibri" w:hAnsi="Calibri" w:cs="Calibri"/>
                <w:sz w:val="16"/>
                <w:szCs w:val="16"/>
              </w:rPr>
              <w:t>VA to obtain documentation and undertake assessment</w:t>
            </w:r>
          </w:p>
        </w:tc>
      </w:tr>
    </w:tbl>
    <w:p w14:paraId="1CD97ECC" w14:textId="77777777" w:rsidR="007773A4" w:rsidRPr="007773A4" w:rsidRDefault="007773A4" w:rsidP="007773A4">
      <w:pPr>
        <w:rPr>
          <w:sz w:val="14"/>
          <w:szCs w:val="14"/>
        </w:rPr>
      </w:pPr>
    </w:p>
    <w:p w14:paraId="5EE21C71" w14:textId="77777777" w:rsidR="007773A4" w:rsidRPr="007773A4" w:rsidRDefault="007773A4" w:rsidP="007773A4">
      <w:pPr>
        <w:rPr>
          <w:sz w:val="24"/>
          <w:szCs w:val="24"/>
        </w:rPr>
      </w:pPr>
    </w:p>
    <w:p w14:paraId="6493F5FC" w14:textId="56364915" w:rsidR="009D76C4" w:rsidRDefault="009D76C4" w:rsidP="001B1751">
      <w:pPr>
        <w:rPr>
          <w:b/>
          <w:sz w:val="24"/>
          <w:szCs w:val="24"/>
        </w:rPr>
      </w:pPr>
    </w:p>
    <w:p w14:paraId="7B9E8D75" w14:textId="0CA5B1C0" w:rsidR="009A54BB" w:rsidRDefault="009A54BB" w:rsidP="001B1751">
      <w:pPr>
        <w:rPr>
          <w:b/>
          <w:sz w:val="24"/>
          <w:szCs w:val="24"/>
        </w:rPr>
      </w:pPr>
    </w:p>
    <w:p w14:paraId="4BA0CA1F" w14:textId="7276EA04" w:rsidR="009A54BB" w:rsidRDefault="009A54BB" w:rsidP="001B1751">
      <w:pPr>
        <w:rPr>
          <w:b/>
          <w:sz w:val="24"/>
          <w:szCs w:val="24"/>
        </w:rPr>
      </w:pPr>
    </w:p>
    <w:p w14:paraId="56FC84BA" w14:textId="307CB55A" w:rsidR="009A54BB" w:rsidRDefault="009A54BB" w:rsidP="001B1751">
      <w:pPr>
        <w:rPr>
          <w:b/>
          <w:sz w:val="24"/>
          <w:szCs w:val="24"/>
        </w:rPr>
      </w:pPr>
    </w:p>
    <w:p w14:paraId="3B46191C" w14:textId="0B3E11BB" w:rsidR="009A54BB" w:rsidRDefault="009A54BB" w:rsidP="001B1751">
      <w:pPr>
        <w:rPr>
          <w:b/>
          <w:sz w:val="24"/>
          <w:szCs w:val="24"/>
        </w:rPr>
      </w:pPr>
    </w:p>
    <w:p w14:paraId="673ADC24" w14:textId="581C4D88" w:rsidR="009A54BB" w:rsidRDefault="009A54BB" w:rsidP="001B1751">
      <w:pPr>
        <w:rPr>
          <w:b/>
          <w:sz w:val="24"/>
          <w:szCs w:val="24"/>
        </w:rPr>
      </w:pPr>
    </w:p>
    <w:p w14:paraId="50D74F4B" w14:textId="6F09D7DF" w:rsidR="009A54BB" w:rsidRDefault="009A54BB" w:rsidP="001B1751">
      <w:pPr>
        <w:rPr>
          <w:b/>
          <w:sz w:val="24"/>
          <w:szCs w:val="24"/>
        </w:rPr>
      </w:pPr>
    </w:p>
    <w:p w14:paraId="67AB67DE" w14:textId="35BC922E" w:rsidR="009A54BB" w:rsidRDefault="009A54BB" w:rsidP="001B1751">
      <w:pPr>
        <w:rPr>
          <w:b/>
          <w:sz w:val="24"/>
          <w:szCs w:val="24"/>
        </w:rPr>
      </w:pPr>
    </w:p>
    <w:p w14:paraId="1E40C315" w14:textId="3588C456" w:rsidR="009A54BB" w:rsidRDefault="009A54BB" w:rsidP="001B1751">
      <w:pPr>
        <w:rPr>
          <w:b/>
          <w:sz w:val="24"/>
          <w:szCs w:val="24"/>
        </w:rPr>
      </w:pPr>
    </w:p>
    <w:p w14:paraId="5AE0EA90" w14:textId="01936F8E" w:rsidR="009A54BB" w:rsidRDefault="009A54BB" w:rsidP="001B1751">
      <w:pPr>
        <w:rPr>
          <w:b/>
          <w:sz w:val="24"/>
          <w:szCs w:val="24"/>
        </w:rPr>
      </w:pPr>
    </w:p>
    <w:p w14:paraId="102B5AE1" w14:textId="6A4A175E" w:rsidR="009A54BB" w:rsidRDefault="009A54BB" w:rsidP="001B1751">
      <w:pPr>
        <w:rPr>
          <w:b/>
          <w:sz w:val="24"/>
          <w:szCs w:val="24"/>
        </w:rPr>
      </w:pPr>
    </w:p>
    <w:sectPr w:rsidR="009A54BB" w:rsidSect="003D120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FC7AF" w14:textId="77777777" w:rsidR="00A25CE5" w:rsidRDefault="00A25CE5" w:rsidP="002D7DF7">
      <w:r>
        <w:separator/>
      </w:r>
    </w:p>
  </w:endnote>
  <w:endnote w:type="continuationSeparator" w:id="0">
    <w:p w14:paraId="1C23F209" w14:textId="77777777" w:rsidR="00A25CE5" w:rsidRDefault="00A25CE5" w:rsidP="002D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D0DFE" w14:textId="77777777" w:rsidR="005167E8" w:rsidRDefault="005167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405855"/>
      <w:docPartObj>
        <w:docPartGallery w:val="Page Numbers (Bottom of Page)"/>
        <w:docPartUnique/>
      </w:docPartObj>
    </w:sdtPr>
    <w:sdtEndPr/>
    <w:sdtContent>
      <w:sdt>
        <w:sdtPr>
          <w:id w:val="-1769616900"/>
          <w:docPartObj>
            <w:docPartGallery w:val="Page Numbers (Top of Page)"/>
            <w:docPartUnique/>
          </w:docPartObj>
        </w:sdtPr>
        <w:sdtEndPr/>
        <w:sdtContent>
          <w:p w14:paraId="03AE4A92" w14:textId="11A5CF49" w:rsidR="005167E8" w:rsidRDefault="005167E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6157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1578">
              <w:rPr>
                <w:b/>
                <w:bCs/>
                <w:noProof/>
              </w:rPr>
              <w:t>40</w:t>
            </w:r>
            <w:r>
              <w:rPr>
                <w:b/>
                <w:bCs/>
                <w:sz w:val="24"/>
                <w:szCs w:val="24"/>
              </w:rPr>
              <w:fldChar w:fldCharType="end"/>
            </w:r>
          </w:p>
        </w:sdtContent>
      </w:sdt>
    </w:sdtContent>
  </w:sdt>
  <w:p w14:paraId="209CE7C5" w14:textId="77777777" w:rsidR="005167E8" w:rsidRDefault="005167E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5BDE" w14:textId="77777777" w:rsidR="005167E8" w:rsidRDefault="005167E8">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A45D" w14:textId="77777777" w:rsidR="005167E8" w:rsidRDefault="005167E8">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934523"/>
      <w:docPartObj>
        <w:docPartGallery w:val="Page Numbers (Bottom of Page)"/>
        <w:docPartUnique/>
      </w:docPartObj>
    </w:sdtPr>
    <w:sdtEndPr>
      <w:rPr>
        <w:color w:val="7F7F7F" w:themeColor="background1" w:themeShade="7F"/>
        <w:spacing w:val="60"/>
      </w:rPr>
    </w:sdtEndPr>
    <w:sdtContent>
      <w:p w14:paraId="07915EF4" w14:textId="41ED8EE5" w:rsidR="005167E8" w:rsidRDefault="005167E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61578" w:rsidRPr="00861578">
          <w:rPr>
            <w:b/>
            <w:bCs/>
            <w:noProof/>
          </w:rPr>
          <w:t>xxi</w:t>
        </w:r>
        <w:r>
          <w:rPr>
            <w:b/>
            <w:bCs/>
            <w:noProof/>
          </w:rPr>
          <w:fldChar w:fldCharType="end"/>
        </w:r>
        <w:r>
          <w:rPr>
            <w:b/>
            <w:bCs/>
          </w:rPr>
          <w:t xml:space="preserve"> | </w:t>
        </w:r>
        <w:r>
          <w:rPr>
            <w:color w:val="7F7F7F" w:themeColor="background1" w:themeShade="7F"/>
            <w:spacing w:val="60"/>
          </w:rPr>
          <w:t>Page</w:t>
        </w:r>
      </w:p>
    </w:sdtContent>
  </w:sdt>
  <w:p w14:paraId="0D60336F" w14:textId="0D1C08FC" w:rsidR="005167E8" w:rsidRPr="00800317" w:rsidRDefault="005167E8" w:rsidP="00C608D6">
    <w:pPr>
      <w:pStyle w:val="Footer"/>
      <w:jc w:val="right"/>
      <w:rPr>
        <w:sz w:val="24"/>
        <w:szCs w:val="24"/>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98FFD" w14:textId="77777777" w:rsidR="005167E8" w:rsidRDefault="005167E8">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20"/>
      <w:gridCol w:w="4320"/>
      <w:gridCol w:w="4320"/>
    </w:tblGrid>
    <w:tr w:rsidR="005167E8" w14:paraId="2DD56669" w14:textId="77777777" w:rsidTr="007773A4">
      <w:tc>
        <w:tcPr>
          <w:tcW w:w="4320" w:type="dxa"/>
        </w:tcPr>
        <w:p w14:paraId="2AA6682F" w14:textId="77777777" w:rsidR="005167E8" w:rsidRDefault="005167E8" w:rsidP="007773A4">
          <w:pPr>
            <w:pStyle w:val="Header"/>
            <w:ind w:left="-115"/>
          </w:pPr>
        </w:p>
      </w:tc>
      <w:tc>
        <w:tcPr>
          <w:tcW w:w="4320" w:type="dxa"/>
        </w:tcPr>
        <w:p w14:paraId="4CF7A4D2" w14:textId="77777777" w:rsidR="005167E8" w:rsidRDefault="005167E8" w:rsidP="007773A4">
          <w:pPr>
            <w:pStyle w:val="Header"/>
            <w:jc w:val="center"/>
          </w:pPr>
        </w:p>
      </w:tc>
      <w:tc>
        <w:tcPr>
          <w:tcW w:w="4320" w:type="dxa"/>
        </w:tcPr>
        <w:p w14:paraId="537AECA5" w14:textId="77777777" w:rsidR="005167E8" w:rsidRDefault="005167E8" w:rsidP="007773A4">
          <w:pPr>
            <w:pStyle w:val="Header"/>
            <w:ind w:right="-115"/>
            <w:jc w:val="right"/>
          </w:pPr>
        </w:p>
      </w:tc>
    </w:tr>
  </w:tbl>
  <w:p w14:paraId="6EC69645" w14:textId="77777777" w:rsidR="005167E8" w:rsidRDefault="005167E8">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320"/>
      <w:gridCol w:w="4320"/>
      <w:gridCol w:w="4320"/>
    </w:tblGrid>
    <w:tr w:rsidR="005167E8" w14:paraId="7F29519F" w14:textId="77777777" w:rsidTr="007773A4">
      <w:tc>
        <w:tcPr>
          <w:tcW w:w="4320" w:type="dxa"/>
        </w:tcPr>
        <w:p w14:paraId="678AA7D1" w14:textId="77777777" w:rsidR="005167E8" w:rsidRDefault="005167E8" w:rsidP="007773A4">
          <w:pPr>
            <w:pStyle w:val="Header"/>
            <w:ind w:left="-115"/>
          </w:pPr>
        </w:p>
      </w:tc>
      <w:tc>
        <w:tcPr>
          <w:tcW w:w="4320" w:type="dxa"/>
        </w:tcPr>
        <w:p w14:paraId="4D54DA49" w14:textId="77777777" w:rsidR="005167E8" w:rsidRDefault="005167E8" w:rsidP="007773A4">
          <w:pPr>
            <w:pStyle w:val="Header"/>
            <w:jc w:val="center"/>
          </w:pPr>
        </w:p>
      </w:tc>
      <w:tc>
        <w:tcPr>
          <w:tcW w:w="4320" w:type="dxa"/>
        </w:tcPr>
        <w:p w14:paraId="4B4708CC" w14:textId="77777777" w:rsidR="005167E8" w:rsidRDefault="005167E8" w:rsidP="007773A4">
          <w:pPr>
            <w:pStyle w:val="Header"/>
            <w:ind w:right="-115"/>
            <w:jc w:val="right"/>
          </w:pPr>
        </w:p>
      </w:tc>
    </w:tr>
  </w:tbl>
  <w:p w14:paraId="6F2D46F5" w14:textId="77777777" w:rsidR="005167E8" w:rsidRDefault="005167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B7F90" w14:textId="77777777" w:rsidR="00A25CE5" w:rsidRDefault="00A25CE5" w:rsidP="002D7DF7">
      <w:r>
        <w:separator/>
      </w:r>
    </w:p>
  </w:footnote>
  <w:footnote w:type="continuationSeparator" w:id="0">
    <w:p w14:paraId="72021686" w14:textId="77777777" w:rsidR="00A25CE5" w:rsidRDefault="00A25CE5" w:rsidP="002D7DF7">
      <w:r>
        <w:continuationSeparator/>
      </w:r>
    </w:p>
  </w:footnote>
  <w:footnote w:id="1">
    <w:p w14:paraId="45F1C009" w14:textId="77777777" w:rsidR="005167E8" w:rsidRDefault="005167E8" w:rsidP="009D76C4">
      <w:pPr>
        <w:pStyle w:val="FootnoteText"/>
      </w:pPr>
      <w:r>
        <w:rPr>
          <w:rStyle w:val="FootnoteReference"/>
        </w:rPr>
        <w:footnoteRef/>
      </w:r>
      <w:r>
        <w:t xml:space="preserve"> </w:t>
      </w:r>
      <w:r w:rsidRPr="0094678C">
        <w:t>http://documents.worldbank.org/curated/en/409881538105446194/pdf/SOMALIA-RECURRENT-COST-PAD-08312018.pdf</w:t>
      </w:r>
    </w:p>
  </w:footnote>
  <w:footnote w:id="2">
    <w:p w14:paraId="236A0E11" w14:textId="77777777" w:rsidR="005167E8" w:rsidRPr="00073FBA" w:rsidRDefault="005167E8" w:rsidP="007773A4">
      <w:pPr>
        <w:pStyle w:val="FootnoteText"/>
      </w:pPr>
      <w:r w:rsidRPr="000B72E8">
        <w:rPr>
          <w:rStyle w:val="FootnoteReference"/>
          <w:sz w:val="18"/>
          <w:szCs w:val="18"/>
        </w:rPr>
        <w:footnoteRef/>
      </w:r>
      <w:r w:rsidRPr="000B72E8">
        <w:rPr>
          <w:sz w:val="18"/>
          <w:szCs w:val="18"/>
        </w:rPr>
        <w:t xml:space="preserve"> Please note that verification protocols may be amended in the RCRF II and RCRF III Project Operations Manuals (POMs), these should be referred to at time of verification.</w:t>
      </w:r>
    </w:p>
  </w:footnote>
  <w:footnote w:id="3">
    <w:p w14:paraId="3A9DFA80" w14:textId="26FD661D" w:rsidR="00790862" w:rsidRDefault="00790862">
      <w:pPr>
        <w:pStyle w:val="FootnoteText"/>
      </w:pPr>
      <w:r>
        <w:rPr>
          <w:rStyle w:val="FootnoteReference"/>
        </w:rPr>
        <w:footnoteRef/>
      </w:r>
      <w:r>
        <w:t xml:space="preserve"> </w:t>
      </w:r>
      <w:r w:rsidRPr="009E15E8">
        <w:rPr>
          <w:rFonts w:ascii="Helvetica Neue" w:eastAsiaTheme="minorHAnsi" w:hAnsi="Helvetica Neue" w:cs="Helvetica Neue"/>
          <w:color w:val="000000"/>
          <w:sz w:val="16"/>
          <w:szCs w:val="16"/>
          <w:lang w:val="en-GB"/>
        </w:rPr>
        <w:t>Pleas</w:t>
      </w:r>
      <w:r>
        <w:rPr>
          <w:rFonts w:ascii="Helvetica Neue" w:eastAsiaTheme="minorHAnsi" w:hAnsi="Helvetica Neue" w:cs="Helvetica Neue"/>
          <w:color w:val="000000"/>
          <w:sz w:val="16"/>
          <w:szCs w:val="16"/>
          <w:lang w:val="en-GB"/>
        </w:rPr>
        <w:t>e</w:t>
      </w:r>
      <w:r w:rsidRPr="009E15E8">
        <w:rPr>
          <w:rFonts w:ascii="Helvetica Neue" w:eastAsiaTheme="minorHAnsi" w:hAnsi="Helvetica Neue" w:cs="Helvetica Neue"/>
          <w:color w:val="000000"/>
          <w:sz w:val="16"/>
          <w:szCs w:val="16"/>
          <w:lang w:val="en-GB"/>
        </w:rPr>
        <w:t xml:space="preserve"> note that the list may be expanded/revised to include new PBCs as part of the Additional Financing</w:t>
      </w:r>
    </w:p>
  </w:footnote>
  <w:footnote w:id="4">
    <w:p w14:paraId="55FAEB61" w14:textId="722E8231" w:rsidR="006B05A1" w:rsidRDefault="006B05A1">
      <w:pPr>
        <w:pStyle w:val="FootnoteText"/>
      </w:pPr>
      <w:r>
        <w:rPr>
          <w:rStyle w:val="FootnoteReference"/>
        </w:rPr>
        <w:footnoteRef/>
      </w:r>
      <w:r>
        <w:t xml:space="preserve"> </w:t>
      </w:r>
      <w:r w:rsidRPr="009E15E8">
        <w:rPr>
          <w:rFonts w:ascii="Helvetica Neue" w:eastAsiaTheme="minorHAnsi" w:hAnsi="Helvetica Neue" w:cs="Helvetica Neue"/>
          <w:color w:val="000000"/>
          <w:sz w:val="15"/>
          <w:szCs w:val="15"/>
          <w:lang w:val="en-GB"/>
        </w:rPr>
        <w:t>Please note that the list may be expanded/revised to include new PBCs as part of the Additional Financing</w:t>
      </w:r>
    </w:p>
  </w:footnote>
  <w:footnote w:id="5">
    <w:p w14:paraId="36AA750C" w14:textId="77777777" w:rsidR="005167E8" w:rsidRDefault="005167E8" w:rsidP="007773A4"/>
    <w:p w14:paraId="44592327" w14:textId="77777777" w:rsidR="005167E8" w:rsidRDefault="005167E8" w:rsidP="007773A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29232" w14:textId="77777777" w:rsidR="005167E8" w:rsidRDefault="005167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2637" w14:textId="77777777" w:rsidR="005167E8" w:rsidRDefault="005167E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F0D2" w14:textId="77777777" w:rsidR="005167E8" w:rsidRDefault="005167E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2C203" w14:textId="77777777" w:rsidR="005167E8" w:rsidRDefault="005167E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34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4950"/>
      <w:gridCol w:w="5382"/>
    </w:tblGrid>
    <w:tr w:rsidR="005167E8" w14:paraId="576654C8" w14:textId="77777777" w:rsidTr="00C608D6">
      <w:tc>
        <w:tcPr>
          <w:tcW w:w="1008" w:type="dxa"/>
          <w:vMerge w:val="restart"/>
          <w:vAlign w:val="center"/>
        </w:tcPr>
        <w:p w14:paraId="2181FB65" w14:textId="725D81CC" w:rsidR="005167E8" w:rsidRDefault="005167E8" w:rsidP="00C608D6">
          <w:pPr>
            <w:pStyle w:val="Header"/>
            <w:ind w:left="9360" w:hanging="9360"/>
            <w:jc w:val="center"/>
          </w:pPr>
        </w:p>
      </w:tc>
      <w:tc>
        <w:tcPr>
          <w:tcW w:w="4950" w:type="dxa"/>
          <w:vAlign w:val="center"/>
        </w:tcPr>
        <w:p w14:paraId="12961009" w14:textId="27229376" w:rsidR="005167E8" w:rsidRDefault="005167E8" w:rsidP="00C608D6">
          <w:pPr>
            <w:pStyle w:val="Header"/>
          </w:pPr>
        </w:p>
      </w:tc>
      <w:tc>
        <w:tcPr>
          <w:tcW w:w="5382" w:type="dxa"/>
          <w:vAlign w:val="center"/>
        </w:tcPr>
        <w:p w14:paraId="21F1E18B" w14:textId="77777777" w:rsidR="005167E8" w:rsidRDefault="005167E8" w:rsidP="00C608D6">
          <w:pPr>
            <w:pStyle w:val="Header"/>
            <w:jc w:val="right"/>
          </w:pPr>
        </w:p>
      </w:tc>
    </w:tr>
    <w:tr w:rsidR="005167E8" w14:paraId="2E303740" w14:textId="77777777" w:rsidTr="00C608D6">
      <w:trPr>
        <w:trHeight w:val="242"/>
      </w:trPr>
      <w:tc>
        <w:tcPr>
          <w:tcW w:w="1008" w:type="dxa"/>
          <w:vMerge/>
        </w:tcPr>
        <w:p w14:paraId="0BCF5AD8" w14:textId="77777777" w:rsidR="005167E8" w:rsidRDefault="005167E8" w:rsidP="00C608D6">
          <w:pPr>
            <w:pStyle w:val="Header"/>
          </w:pPr>
        </w:p>
      </w:tc>
      <w:tc>
        <w:tcPr>
          <w:tcW w:w="10332" w:type="dxa"/>
          <w:gridSpan w:val="2"/>
          <w:vAlign w:val="center"/>
        </w:tcPr>
        <w:p w14:paraId="2CDCD04F" w14:textId="5BD9C997" w:rsidR="005167E8" w:rsidRDefault="005167E8" w:rsidP="00C608D6">
          <w:pPr>
            <w:pStyle w:val="Header"/>
          </w:pPr>
          <w:r>
            <w:rPr>
              <w:rFonts w:ascii="Arial" w:hAnsi="Arial" w:cs="Arial"/>
              <w:bCs/>
              <w:noProof/>
            </w:rPr>
            <w:t xml:space="preserve">Somalia Recurrent Cost &amp; Reform Financing Project </w:t>
          </w:r>
        </w:p>
      </w:tc>
    </w:tr>
    <w:tr w:rsidR="005167E8" w14:paraId="2837D0C9" w14:textId="77777777" w:rsidTr="00C608D6">
      <w:tc>
        <w:tcPr>
          <w:tcW w:w="11340" w:type="dxa"/>
          <w:gridSpan w:val="3"/>
          <w:vAlign w:val="center"/>
        </w:tcPr>
        <w:p w14:paraId="0AC44FD8" w14:textId="77777777" w:rsidR="005167E8" w:rsidRDefault="005167E8" w:rsidP="00C608D6">
          <w:pPr>
            <w:pStyle w:val="Header"/>
            <w:jc w:val="center"/>
          </w:pPr>
          <w:r>
            <w:rPr>
              <w:noProof/>
            </w:rPr>
            <mc:AlternateContent>
              <mc:Choice Requires="wps">
                <w:drawing>
                  <wp:anchor distT="0" distB="0" distL="114300" distR="114300" simplePos="0" relativeHeight="251659264" behindDoc="0" locked="0" layoutInCell="1" allowOverlap="1" wp14:anchorId="6F9E81B0" wp14:editId="2EE23DE4">
                    <wp:simplePos x="0" y="0"/>
                    <wp:positionH relativeFrom="column">
                      <wp:posOffset>111760</wp:posOffset>
                    </wp:positionH>
                    <wp:positionV relativeFrom="page">
                      <wp:posOffset>79375</wp:posOffset>
                    </wp:positionV>
                    <wp:extent cx="8580755" cy="0"/>
                    <wp:effectExtent l="0" t="19050" r="4889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0755" cy="0"/>
                            </a:xfrm>
                            <a:prstGeom prst="line">
                              <a:avLst/>
                            </a:prstGeom>
                            <a:noFill/>
                            <a:ln w="57150">
                              <a:solidFill>
                                <a:srgbClr val="4E92D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31AB0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8.8pt,6.25pt" to="684.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" strokecolor="#4e92d1" strokeweight="4.5pt">
                    <w10:wrap anchory="page"/>
                  </v:line>
                </w:pict>
              </mc:Fallback>
            </mc:AlternateContent>
          </w:r>
        </w:p>
      </w:tc>
    </w:tr>
  </w:tbl>
  <w:p w14:paraId="00517528" w14:textId="77777777" w:rsidR="005167E8" w:rsidRPr="00EE655C" w:rsidRDefault="005167E8">
    <w:pPr>
      <w:pStyle w:val="Header"/>
      <w:rPr>
        <w:rFonts w:ascii="Arial" w:hAnsi="Arial" w:cs="Arial"/>
        <w:color w:val="000000"/>
        <w:sz w:val="24"/>
        <w:szCs w:val="24"/>
      </w:rPr>
    </w:pPr>
    <w:r w:rsidRPr="009C4D22">
      <w:rPr>
        <w:rFonts w:ascii="Arial" w:hAnsi="Arial" w:cs="Arial"/>
        <w:b/>
        <w:noProof/>
        <w:color w:val="000000"/>
        <w:sz w:val="24"/>
        <w:szCs w:val="24"/>
      </w:rPr>
      <mc:AlternateContent>
        <mc:Choice Requires="wps">
          <w:drawing>
            <wp:anchor distT="0" distB="0" distL="114300" distR="114300" simplePos="0" relativeHeight="251662336" behindDoc="0" locked="0" layoutInCell="1" allowOverlap="1" wp14:anchorId="386D1E88" wp14:editId="4D3924EB">
              <wp:simplePos x="0" y="0"/>
              <wp:positionH relativeFrom="column">
                <wp:posOffset>-1957070</wp:posOffset>
              </wp:positionH>
              <wp:positionV relativeFrom="paragraph">
                <wp:posOffset>2466340</wp:posOffset>
              </wp:positionV>
              <wp:extent cx="2374265" cy="266700"/>
              <wp:effectExtent l="0" t="1009650" r="0" b="10096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noFill/>
                      <a:ln w="9525">
                        <a:noFill/>
                        <a:miter lim="800000"/>
                        <a:headEnd/>
                        <a:tailEnd/>
                      </a:ln>
                      <a:scene3d>
                        <a:camera prst="orthographicFront">
                          <a:rot lat="0" lon="0" rev="5400000"/>
                        </a:camera>
                        <a:lightRig rig="threePt" dir="t"/>
                      </a:scene3d>
                    </wps:spPr>
                    <wps:txbx>
                      <w:txbxContent>
                        <w:p w14:paraId="62EA8503" w14:textId="77777777" w:rsidR="005167E8" w:rsidRPr="009C4D22" w:rsidRDefault="005167E8" w:rsidP="00C608D6">
                          <w:pPr>
                            <w:rPr>
                              <w:color w:val="595959"/>
                            </w:rPr>
                          </w:pPr>
                          <w:r w:rsidRPr="009C4D22">
                            <w:rPr>
                              <w:color w:val="595959"/>
                            </w:rPr>
                            <w:t>For Official Use Only</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86D1E88" id="_x0000_t202" coordsize="21600,21600" o:spt="202" path="m,l,21600r21600,l21600,xe">
              <v:stroke joinstyle="miter"/>
              <v:path gradientshapeok="t" o:connecttype="rect"/>
            </v:shapetype>
            <v:shape id="Text Box 27" o:spid="_x0000_s1028" type="#_x0000_t202" style="position:absolute;margin-left:-154.1pt;margin-top:194.2pt;width:186.9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" filled="f" stroked="f">
              <v:textbox>
                <w:txbxContent>
                  <w:p w14:paraId="62EA8503" w14:textId="77777777" w:rsidR="005167E8" w:rsidRPr="009C4D22" w:rsidRDefault="005167E8" w:rsidP="00C608D6">
                    <w:pPr>
                      <w:rPr>
                        <w:color w:val="595959"/>
                      </w:rPr>
                    </w:pPr>
                    <w:r w:rsidRPr="009C4D22">
                      <w:rPr>
                        <w:color w:val="595959"/>
                      </w:rPr>
                      <w:t>For Official Use Only</w:t>
                    </w:r>
                  </w:p>
                </w:txbxContent>
              </v:textbox>
            </v:shape>
          </w:pict>
        </mc:Fallback>
      </mc:AlternateContent>
    </w:r>
    <w:r w:rsidRPr="00B636E2">
      <w:rPr>
        <w:b/>
        <w:noProof/>
      </w:rPr>
      <mc:AlternateContent>
        <mc:Choice Requires="wps">
          <w:drawing>
            <wp:anchor distT="0" distB="0" distL="114300" distR="114300" simplePos="0" relativeHeight="251660288" behindDoc="0" locked="0" layoutInCell="1" allowOverlap="1" wp14:anchorId="244A1939" wp14:editId="49B66EFB">
              <wp:simplePos x="0" y="0"/>
              <wp:positionH relativeFrom="column">
                <wp:posOffset>-1957070</wp:posOffset>
              </wp:positionH>
              <wp:positionV relativeFrom="paragraph">
                <wp:posOffset>2466340</wp:posOffset>
              </wp:positionV>
              <wp:extent cx="2374265" cy="266700"/>
              <wp:effectExtent l="0" t="1009650" r="0" b="10096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noFill/>
                      <a:ln w="9525">
                        <a:noFill/>
                        <a:miter lim="800000"/>
                        <a:headEnd/>
                        <a:tailEnd/>
                      </a:ln>
                      <a:scene3d>
                        <a:camera prst="orthographicFront">
                          <a:rot lat="0" lon="0" rev="5400000"/>
                        </a:camera>
                        <a:lightRig rig="threePt" dir="t"/>
                      </a:scene3d>
                    </wps:spPr>
                    <wps:txbx>
                      <w:txbxContent>
                        <w:p w14:paraId="72303EAA" w14:textId="77777777" w:rsidR="005167E8" w:rsidRPr="009F641A" w:rsidRDefault="005167E8" w:rsidP="00C608D6">
                          <w:pPr>
                            <w:rPr>
                              <w:color w:val="595959" w:themeColor="text1" w:themeTint="A6"/>
                            </w:rPr>
                          </w:pPr>
                          <w:r>
                            <w:rPr>
                              <w:color w:val="595959" w:themeColor="text1" w:themeTint="A6"/>
                            </w:rPr>
                            <w:t>For Official Use Only</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4A1939" id="Text Box 2" o:spid="_x0000_s1029" type="#_x0000_t202" style="position:absolute;margin-left:-154.1pt;margin-top:194.2pt;width:186.9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" filled="f" stroked="f">
              <v:textbox>
                <w:txbxContent>
                  <w:p w14:paraId="72303EAA" w14:textId="77777777" w:rsidR="005167E8" w:rsidRPr="009F641A" w:rsidRDefault="005167E8" w:rsidP="00C608D6">
                    <w:pPr>
                      <w:rPr>
                        <w:color w:val="595959" w:themeColor="text1" w:themeTint="A6"/>
                      </w:rPr>
                    </w:pPr>
                    <w:r>
                      <w:rPr>
                        <w:color w:val="595959" w:themeColor="text1" w:themeTint="A6"/>
                      </w:rPr>
                      <w:t>For Official Use Only</w:t>
                    </w:r>
                  </w:p>
                </w:txbxContent>
              </v:textbox>
            </v:shape>
          </w:pict>
        </mc:Fallback>
      </mc:AlternateContent>
    </w:r>
    <w:r w:rsidRPr="00B636E2">
      <w:rPr>
        <w:b/>
        <w:noProof/>
      </w:rPr>
      <mc:AlternateContent>
        <mc:Choice Requires="wps">
          <w:drawing>
            <wp:anchor distT="0" distB="0" distL="114300" distR="114300" simplePos="0" relativeHeight="251661312" behindDoc="0" locked="0" layoutInCell="1" allowOverlap="1" wp14:anchorId="76CC73C3" wp14:editId="1C820537">
              <wp:simplePos x="0" y="0"/>
              <wp:positionH relativeFrom="column">
                <wp:posOffset>-1957070</wp:posOffset>
              </wp:positionH>
              <wp:positionV relativeFrom="paragraph">
                <wp:posOffset>2466340</wp:posOffset>
              </wp:positionV>
              <wp:extent cx="2374265" cy="266700"/>
              <wp:effectExtent l="0" t="1009650" r="0" b="100965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noFill/>
                      <a:ln w="9525">
                        <a:noFill/>
                        <a:miter lim="800000"/>
                        <a:headEnd/>
                        <a:tailEnd/>
                      </a:ln>
                      <a:scene3d>
                        <a:camera prst="orthographicFront">
                          <a:rot lat="0" lon="0" rev="5400000"/>
                        </a:camera>
                        <a:lightRig rig="threePt" dir="t"/>
                      </a:scene3d>
                    </wps:spPr>
                    <wps:txbx>
                      <w:txbxContent>
                        <w:p w14:paraId="3394EB77" w14:textId="77777777" w:rsidR="005167E8" w:rsidRPr="009F641A" w:rsidRDefault="005167E8" w:rsidP="00C608D6">
                          <w:pPr>
                            <w:rPr>
                              <w:color w:val="595959" w:themeColor="text1" w:themeTint="A6"/>
                            </w:rPr>
                          </w:pPr>
                          <w:r>
                            <w:rPr>
                              <w:color w:val="595959" w:themeColor="text1" w:themeTint="A6"/>
                            </w:rPr>
                            <w:t>For Official Use Only</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CC73C3" id="_x0000_s1030" type="#_x0000_t202" style="position:absolute;margin-left:-154.1pt;margin-top:194.2pt;width:186.9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" filled="f" stroked="f">
              <v:textbox>
                <w:txbxContent>
                  <w:p w14:paraId="3394EB77" w14:textId="77777777" w:rsidR="005167E8" w:rsidRPr="009F641A" w:rsidRDefault="005167E8" w:rsidP="00C608D6">
                    <w:pPr>
                      <w:rPr>
                        <w:color w:val="595959" w:themeColor="text1" w:themeTint="A6"/>
                      </w:rPr>
                    </w:pPr>
                    <w:r>
                      <w:rPr>
                        <w:color w:val="595959" w:themeColor="text1" w:themeTint="A6"/>
                      </w:rPr>
                      <w:t>For Official Use Only</w:t>
                    </w:r>
                  </w:p>
                </w:txbxContent>
              </v:textbox>
            </v:shape>
          </w:pict>
        </mc:Fallback>
      </mc:AlternateContent>
    </w:r>
    <w:r w:rsidRPr="00B636E2">
      <w:rPr>
        <w:b/>
        <w:noProof/>
      </w:rPr>
      <mc:AlternateContent>
        <mc:Choice Requires="wps">
          <w:drawing>
            <wp:anchor distT="0" distB="0" distL="114300" distR="114300" simplePos="0" relativeHeight="251663360" behindDoc="0" locked="0" layoutInCell="1" allowOverlap="1" wp14:anchorId="430ECEBF" wp14:editId="2A1E3EF8">
              <wp:simplePos x="0" y="0"/>
              <wp:positionH relativeFrom="column">
                <wp:posOffset>-1957070</wp:posOffset>
              </wp:positionH>
              <wp:positionV relativeFrom="paragraph">
                <wp:posOffset>2466340</wp:posOffset>
              </wp:positionV>
              <wp:extent cx="2374265" cy="266700"/>
              <wp:effectExtent l="0" t="1009650" r="0" b="100965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noFill/>
                      <a:ln w="9525">
                        <a:noFill/>
                        <a:miter lim="800000"/>
                        <a:headEnd/>
                        <a:tailEnd/>
                      </a:ln>
                      <a:scene3d>
                        <a:camera prst="orthographicFront">
                          <a:rot lat="0" lon="0" rev="5400000"/>
                        </a:camera>
                        <a:lightRig rig="threePt" dir="t"/>
                      </a:scene3d>
                    </wps:spPr>
                    <wps:txbx>
                      <w:txbxContent>
                        <w:p w14:paraId="45256D8E" w14:textId="77777777" w:rsidR="005167E8" w:rsidRPr="009F641A" w:rsidRDefault="005167E8" w:rsidP="00C608D6">
                          <w:pPr>
                            <w:rPr>
                              <w:color w:val="595959" w:themeColor="text1" w:themeTint="A6"/>
                            </w:rPr>
                          </w:pPr>
                          <w:r>
                            <w:rPr>
                              <w:color w:val="595959" w:themeColor="text1" w:themeTint="A6"/>
                            </w:rPr>
                            <w:t>For Official Use Only</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0ECEBF" id="_x0000_s1031" type="#_x0000_t202" style="position:absolute;margin-left:-154.1pt;margin-top:194.2pt;width:186.9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" filled="f" stroked="f">
              <v:textbox>
                <w:txbxContent>
                  <w:p w14:paraId="45256D8E" w14:textId="77777777" w:rsidR="005167E8" w:rsidRPr="009F641A" w:rsidRDefault="005167E8" w:rsidP="00C608D6">
                    <w:pPr>
                      <w:rPr>
                        <w:color w:val="595959" w:themeColor="text1" w:themeTint="A6"/>
                      </w:rPr>
                    </w:pPr>
                    <w:r>
                      <w:rPr>
                        <w:color w:val="595959" w:themeColor="text1" w:themeTint="A6"/>
                      </w:rPr>
                      <w:t>For Official Use Only</w:t>
                    </w:r>
                  </w:p>
                </w:txbxContent>
              </v:textbox>
            </v:shape>
          </w:pict>
        </mc:Fallback>
      </mc:AlternateContent>
    </w:r>
    <w:r w:rsidRPr="009C4D22">
      <w:rPr>
        <w:rFonts w:ascii="Arial" w:hAnsi="Arial" w:cs="Arial"/>
        <w:b/>
        <w:noProof/>
        <w:color w:val="000000"/>
        <w:sz w:val="24"/>
        <w:szCs w:val="24"/>
      </w:rPr>
      <mc:AlternateContent>
        <mc:Choice Requires="wps">
          <w:drawing>
            <wp:anchor distT="0" distB="0" distL="114300" distR="114300" simplePos="0" relativeHeight="251664384" behindDoc="0" locked="0" layoutInCell="1" allowOverlap="1" wp14:anchorId="656271CE" wp14:editId="0CB4D124">
              <wp:simplePos x="0" y="0"/>
              <wp:positionH relativeFrom="column">
                <wp:posOffset>-1957070</wp:posOffset>
              </wp:positionH>
              <wp:positionV relativeFrom="paragraph">
                <wp:posOffset>2466340</wp:posOffset>
              </wp:positionV>
              <wp:extent cx="2374265" cy="266700"/>
              <wp:effectExtent l="0" t="1009650" r="0" b="100965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noFill/>
                      <a:ln w="9525">
                        <a:noFill/>
                        <a:miter lim="800000"/>
                        <a:headEnd/>
                        <a:tailEnd/>
                      </a:ln>
                      <a:scene3d>
                        <a:camera prst="orthographicFront">
                          <a:rot lat="0" lon="0" rev="5400000"/>
                        </a:camera>
                        <a:lightRig rig="threePt" dir="t"/>
                      </a:scene3d>
                    </wps:spPr>
                    <wps:txbx>
                      <w:txbxContent>
                        <w:p w14:paraId="442E1153" w14:textId="77777777" w:rsidR="005167E8" w:rsidRPr="009C4D22" w:rsidRDefault="005167E8" w:rsidP="00C608D6">
                          <w:pPr>
                            <w:rPr>
                              <w:color w:val="595959"/>
                            </w:rPr>
                          </w:pPr>
                          <w:r w:rsidRPr="009C4D22">
                            <w:rPr>
                              <w:color w:val="595959"/>
                            </w:rPr>
                            <w:t>For Official Use Only</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6271CE" id="_x0000_s1032" type="#_x0000_t202" style="position:absolute;margin-left:-154.1pt;margin-top:194.2pt;width:186.9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" filled="f" stroked="f">
              <v:textbox>
                <w:txbxContent>
                  <w:p w14:paraId="442E1153" w14:textId="77777777" w:rsidR="005167E8" w:rsidRPr="009C4D22" w:rsidRDefault="005167E8" w:rsidP="00C608D6">
                    <w:pPr>
                      <w:rPr>
                        <w:color w:val="595959"/>
                      </w:rPr>
                    </w:pPr>
                    <w:r w:rsidRPr="009C4D22">
                      <w:rPr>
                        <w:color w:val="595959"/>
                      </w:rPr>
                      <w:t>For Official Use Only</w:t>
                    </w:r>
                  </w:p>
                </w:txbxContent>
              </v:textbox>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2E409" w14:textId="77777777" w:rsidR="005167E8" w:rsidRDefault="005167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78FC"/>
    <w:multiLevelType w:val="hybridMultilevel"/>
    <w:tmpl w:val="6F00ABCE"/>
    <w:lvl w:ilvl="0" w:tplc="7E588084">
      <w:start w:val="1"/>
      <w:numFmt w:val="lowerRoman"/>
      <w:lvlText w:val="%1."/>
      <w:lvlJc w:val="right"/>
      <w:pPr>
        <w:ind w:left="720" w:hanging="360"/>
      </w:pPr>
    </w:lvl>
    <w:lvl w:ilvl="1" w:tplc="EB606AAE">
      <w:start w:val="1"/>
      <w:numFmt w:val="lowerLetter"/>
      <w:lvlText w:val="%2."/>
      <w:lvlJc w:val="left"/>
      <w:pPr>
        <w:ind w:left="1440" w:hanging="360"/>
      </w:pPr>
    </w:lvl>
    <w:lvl w:ilvl="2" w:tplc="12AA525E">
      <w:start w:val="1"/>
      <w:numFmt w:val="lowerRoman"/>
      <w:lvlText w:val="(%3)"/>
      <w:lvlJc w:val="left"/>
      <w:pPr>
        <w:ind w:left="2160" w:hanging="180"/>
      </w:pPr>
      <w:rPr>
        <w:rFonts w:hint="default"/>
      </w:rPr>
    </w:lvl>
    <w:lvl w:ilvl="3" w:tplc="66843140" w:tentative="1">
      <w:start w:val="1"/>
      <w:numFmt w:val="decimal"/>
      <w:lvlText w:val="%4."/>
      <w:lvlJc w:val="left"/>
      <w:pPr>
        <w:ind w:left="2880" w:hanging="360"/>
      </w:pPr>
    </w:lvl>
    <w:lvl w:ilvl="4" w:tplc="F296EA50" w:tentative="1">
      <w:start w:val="1"/>
      <w:numFmt w:val="lowerLetter"/>
      <w:lvlText w:val="%5."/>
      <w:lvlJc w:val="left"/>
      <w:pPr>
        <w:ind w:left="3600" w:hanging="360"/>
      </w:pPr>
    </w:lvl>
    <w:lvl w:ilvl="5" w:tplc="A2BEC024" w:tentative="1">
      <w:start w:val="1"/>
      <w:numFmt w:val="lowerRoman"/>
      <w:lvlText w:val="%6."/>
      <w:lvlJc w:val="right"/>
      <w:pPr>
        <w:ind w:left="4320" w:hanging="180"/>
      </w:pPr>
    </w:lvl>
    <w:lvl w:ilvl="6" w:tplc="ACE441DC" w:tentative="1">
      <w:start w:val="1"/>
      <w:numFmt w:val="decimal"/>
      <w:lvlText w:val="%7."/>
      <w:lvlJc w:val="left"/>
      <w:pPr>
        <w:ind w:left="5040" w:hanging="360"/>
      </w:pPr>
    </w:lvl>
    <w:lvl w:ilvl="7" w:tplc="070A842E" w:tentative="1">
      <w:start w:val="1"/>
      <w:numFmt w:val="lowerLetter"/>
      <w:lvlText w:val="%8."/>
      <w:lvlJc w:val="left"/>
      <w:pPr>
        <w:ind w:left="5760" w:hanging="360"/>
      </w:pPr>
    </w:lvl>
    <w:lvl w:ilvl="8" w:tplc="78420FEA" w:tentative="1">
      <w:start w:val="1"/>
      <w:numFmt w:val="lowerRoman"/>
      <w:lvlText w:val="%9."/>
      <w:lvlJc w:val="right"/>
      <w:pPr>
        <w:ind w:left="6480" w:hanging="180"/>
      </w:pPr>
    </w:lvl>
  </w:abstractNum>
  <w:abstractNum w:abstractNumId="1" w15:restartNumberingAfterBreak="0">
    <w:nsid w:val="12AA411F"/>
    <w:multiLevelType w:val="hybridMultilevel"/>
    <w:tmpl w:val="F078DF04"/>
    <w:lvl w:ilvl="0" w:tplc="B48CF90C">
      <w:start w:val="1"/>
      <w:numFmt w:val="bullet"/>
      <w:lvlText w:val=""/>
      <w:lvlJc w:val="left"/>
      <w:pPr>
        <w:ind w:left="720" w:hanging="360"/>
      </w:pPr>
      <w:rPr>
        <w:rFonts w:ascii="Symbol" w:hAnsi="Symbol" w:hint="default"/>
      </w:rPr>
    </w:lvl>
    <w:lvl w:ilvl="1" w:tplc="E9D664D0" w:tentative="1">
      <w:start w:val="1"/>
      <w:numFmt w:val="bullet"/>
      <w:lvlText w:val="o"/>
      <w:lvlJc w:val="left"/>
      <w:pPr>
        <w:ind w:left="1440" w:hanging="360"/>
      </w:pPr>
      <w:rPr>
        <w:rFonts w:ascii="Courier New" w:hAnsi="Courier New" w:cs="Courier New" w:hint="default"/>
      </w:rPr>
    </w:lvl>
    <w:lvl w:ilvl="2" w:tplc="1314262A" w:tentative="1">
      <w:start w:val="1"/>
      <w:numFmt w:val="bullet"/>
      <w:lvlText w:val=""/>
      <w:lvlJc w:val="left"/>
      <w:pPr>
        <w:ind w:left="2160" w:hanging="360"/>
      </w:pPr>
      <w:rPr>
        <w:rFonts w:ascii="Wingdings" w:hAnsi="Wingdings" w:hint="default"/>
      </w:rPr>
    </w:lvl>
    <w:lvl w:ilvl="3" w:tplc="5C20BE78" w:tentative="1">
      <w:start w:val="1"/>
      <w:numFmt w:val="bullet"/>
      <w:lvlText w:val=""/>
      <w:lvlJc w:val="left"/>
      <w:pPr>
        <w:ind w:left="2880" w:hanging="360"/>
      </w:pPr>
      <w:rPr>
        <w:rFonts w:ascii="Symbol" w:hAnsi="Symbol" w:hint="default"/>
      </w:rPr>
    </w:lvl>
    <w:lvl w:ilvl="4" w:tplc="72C69888" w:tentative="1">
      <w:start w:val="1"/>
      <w:numFmt w:val="bullet"/>
      <w:lvlText w:val="o"/>
      <w:lvlJc w:val="left"/>
      <w:pPr>
        <w:ind w:left="3600" w:hanging="360"/>
      </w:pPr>
      <w:rPr>
        <w:rFonts w:ascii="Courier New" w:hAnsi="Courier New" w:cs="Courier New" w:hint="default"/>
      </w:rPr>
    </w:lvl>
    <w:lvl w:ilvl="5" w:tplc="15BAED4A" w:tentative="1">
      <w:start w:val="1"/>
      <w:numFmt w:val="bullet"/>
      <w:lvlText w:val=""/>
      <w:lvlJc w:val="left"/>
      <w:pPr>
        <w:ind w:left="4320" w:hanging="360"/>
      </w:pPr>
      <w:rPr>
        <w:rFonts w:ascii="Wingdings" w:hAnsi="Wingdings" w:hint="default"/>
      </w:rPr>
    </w:lvl>
    <w:lvl w:ilvl="6" w:tplc="F6D60946" w:tentative="1">
      <w:start w:val="1"/>
      <w:numFmt w:val="bullet"/>
      <w:lvlText w:val=""/>
      <w:lvlJc w:val="left"/>
      <w:pPr>
        <w:ind w:left="5040" w:hanging="360"/>
      </w:pPr>
      <w:rPr>
        <w:rFonts w:ascii="Symbol" w:hAnsi="Symbol" w:hint="default"/>
      </w:rPr>
    </w:lvl>
    <w:lvl w:ilvl="7" w:tplc="07AA638A" w:tentative="1">
      <w:start w:val="1"/>
      <w:numFmt w:val="bullet"/>
      <w:lvlText w:val="o"/>
      <w:lvlJc w:val="left"/>
      <w:pPr>
        <w:ind w:left="5760" w:hanging="360"/>
      </w:pPr>
      <w:rPr>
        <w:rFonts w:ascii="Courier New" w:hAnsi="Courier New" w:cs="Courier New" w:hint="default"/>
      </w:rPr>
    </w:lvl>
    <w:lvl w:ilvl="8" w:tplc="23B67468" w:tentative="1">
      <w:start w:val="1"/>
      <w:numFmt w:val="bullet"/>
      <w:lvlText w:val=""/>
      <w:lvlJc w:val="left"/>
      <w:pPr>
        <w:ind w:left="6480" w:hanging="360"/>
      </w:pPr>
      <w:rPr>
        <w:rFonts w:ascii="Wingdings" w:hAnsi="Wingdings" w:hint="default"/>
      </w:rPr>
    </w:lvl>
  </w:abstractNum>
  <w:abstractNum w:abstractNumId="2" w15:restartNumberingAfterBreak="0">
    <w:nsid w:val="1F2053C2"/>
    <w:multiLevelType w:val="hybridMultilevel"/>
    <w:tmpl w:val="E4587F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C3D42"/>
    <w:multiLevelType w:val="hybridMultilevel"/>
    <w:tmpl w:val="04CA0B7C"/>
    <w:lvl w:ilvl="0" w:tplc="7D6AD078">
      <w:start w:val="1"/>
      <w:numFmt w:val="decimal"/>
      <w:lvlText w:val="%1."/>
      <w:lvlJc w:val="left"/>
      <w:pPr>
        <w:ind w:left="720" w:hanging="360"/>
      </w:pPr>
      <w:rPr>
        <w:rFonts w:hint="default"/>
        <w:b w:val="0"/>
      </w:rPr>
    </w:lvl>
    <w:lvl w:ilvl="1" w:tplc="029C73BE">
      <w:start w:val="1"/>
      <w:numFmt w:val="lowerLetter"/>
      <w:lvlText w:val="%2."/>
      <w:lvlJc w:val="left"/>
      <w:pPr>
        <w:ind w:left="1440" w:hanging="360"/>
      </w:pPr>
    </w:lvl>
    <w:lvl w:ilvl="2" w:tplc="A874FA6C" w:tentative="1">
      <w:start w:val="1"/>
      <w:numFmt w:val="lowerRoman"/>
      <w:lvlText w:val="%3."/>
      <w:lvlJc w:val="right"/>
      <w:pPr>
        <w:ind w:left="2160" w:hanging="180"/>
      </w:pPr>
    </w:lvl>
    <w:lvl w:ilvl="3" w:tplc="B54E19C0" w:tentative="1">
      <w:start w:val="1"/>
      <w:numFmt w:val="decimal"/>
      <w:lvlText w:val="%4."/>
      <w:lvlJc w:val="left"/>
      <w:pPr>
        <w:ind w:left="2880" w:hanging="360"/>
      </w:pPr>
    </w:lvl>
    <w:lvl w:ilvl="4" w:tplc="64B6F3BA" w:tentative="1">
      <w:start w:val="1"/>
      <w:numFmt w:val="lowerLetter"/>
      <w:lvlText w:val="%5."/>
      <w:lvlJc w:val="left"/>
      <w:pPr>
        <w:ind w:left="3600" w:hanging="360"/>
      </w:pPr>
    </w:lvl>
    <w:lvl w:ilvl="5" w:tplc="B1769636" w:tentative="1">
      <w:start w:val="1"/>
      <w:numFmt w:val="lowerRoman"/>
      <w:lvlText w:val="%6."/>
      <w:lvlJc w:val="right"/>
      <w:pPr>
        <w:ind w:left="4320" w:hanging="180"/>
      </w:pPr>
    </w:lvl>
    <w:lvl w:ilvl="6" w:tplc="18DE6330" w:tentative="1">
      <w:start w:val="1"/>
      <w:numFmt w:val="decimal"/>
      <w:lvlText w:val="%7."/>
      <w:lvlJc w:val="left"/>
      <w:pPr>
        <w:ind w:left="5040" w:hanging="360"/>
      </w:pPr>
    </w:lvl>
    <w:lvl w:ilvl="7" w:tplc="A6FCBF7C" w:tentative="1">
      <w:start w:val="1"/>
      <w:numFmt w:val="lowerLetter"/>
      <w:lvlText w:val="%8."/>
      <w:lvlJc w:val="left"/>
      <w:pPr>
        <w:ind w:left="5760" w:hanging="360"/>
      </w:pPr>
    </w:lvl>
    <w:lvl w:ilvl="8" w:tplc="856871DC" w:tentative="1">
      <w:start w:val="1"/>
      <w:numFmt w:val="lowerRoman"/>
      <w:lvlText w:val="%9."/>
      <w:lvlJc w:val="right"/>
      <w:pPr>
        <w:ind w:left="6480" w:hanging="180"/>
      </w:pPr>
    </w:lvl>
  </w:abstractNum>
  <w:abstractNum w:abstractNumId="4" w15:restartNumberingAfterBreak="0">
    <w:nsid w:val="35496F73"/>
    <w:multiLevelType w:val="multilevel"/>
    <w:tmpl w:val="B7000E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D3C5BAB"/>
    <w:multiLevelType w:val="hybridMultilevel"/>
    <w:tmpl w:val="E1645CCA"/>
    <w:lvl w:ilvl="0" w:tplc="AEF8F978">
      <w:start w:val="1"/>
      <w:numFmt w:val="bullet"/>
      <w:lvlText w:val="o"/>
      <w:lvlJc w:val="left"/>
      <w:pPr>
        <w:ind w:left="1915" w:hanging="360"/>
      </w:pPr>
      <w:rPr>
        <w:rFonts w:ascii="Courier New" w:hAnsi="Courier New" w:cs="Courier New" w:hint="default"/>
      </w:rPr>
    </w:lvl>
    <w:lvl w:ilvl="1" w:tplc="087E3224" w:tentative="1">
      <w:start w:val="1"/>
      <w:numFmt w:val="bullet"/>
      <w:lvlText w:val="o"/>
      <w:lvlJc w:val="left"/>
      <w:pPr>
        <w:ind w:left="2635" w:hanging="360"/>
      </w:pPr>
      <w:rPr>
        <w:rFonts w:ascii="Courier New" w:hAnsi="Courier New" w:cs="Courier New" w:hint="default"/>
      </w:rPr>
    </w:lvl>
    <w:lvl w:ilvl="2" w:tplc="F312A4C0" w:tentative="1">
      <w:start w:val="1"/>
      <w:numFmt w:val="bullet"/>
      <w:lvlText w:val=""/>
      <w:lvlJc w:val="left"/>
      <w:pPr>
        <w:ind w:left="3355" w:hanging="360"/>
      </w:pPr>
      <w:rPr>
        <w:rFonts w:ascii="Wingdings" w:hAnsi="Wingdings" w:hint="default"/>
      </w:rPr>
    </w:lvl>
    <w:lvl w:ilvl="3" w:tplc="E4C2A562" w:tentative="1">
      <w:start w:val="1"/>
      <w:numFmt w:val="bullet"/>
      <w:lvlText w:val=""/>
      <w:lvlJc w:val="left"/>
      <w:pPr>
        <w:ind w:left="4075" w:hanging="360"/>
      </w:pPr>
      <w:rPr>
        <w:rFonts w:ascii="Symbol" w:hAnsi="Symbol" w:hint="default"/>
      </w:rPr>
    </w:lvl>
    <w:lvl w:ilvl="4" w:tplc="09F8C63A" w:tentative="1">
      <w:start w:val="1"/>
      <w:numFmt w:val="bullet"/>
      <w:lvlText w:val="o"/>
      <w:lvlJc w:val="left"/>
      <w:pPr>
        <w:ind w:left="4795" w:hanging="360"/>
      </w:pPr>
      <w:rPr>
        <w:rFonts w:ascii="Courier New" w:hAnsi="Courier New" w:cs="Courier New" w:hint="default"/>
      </w:rPr>
    </w:lvl>
    <w:lvl w:ilvl="5" w:tplc="19563D66" w:tentative="1">
      <w:start w:val="1"/>
      <w:numFmt w:val="bullet"/>
      <w:lvlText w:val=""/>
      <w:lvlJc w:val="left"/>
      <w:pPr>
        <w:ind w:left="5515" w:hanging="360"/>
      </w:pPr>
      <w:rPr>
        <w:rFonts w:ascii="Wingdings" w:hAnsi="Wingdings" w:hint="default"/>
      </w:rPr>
    </w:lvl>
    <w:lvl w:ilvl="6" w:tplc="DF00C032" w:tentative="1">
      <w:start w:val="1"/>
      <w:numFmt w:val="bullet"/>
      <w:lvlText w:val=""/>
      <w:lvlJc w:val="left"/>
      <w:pPr>
        <w:ind w:left="6235" w:hanging="360"/>
      </w:pPr>
      <w:rPr>
        <w:rFonts w:ascii="Symbol" w:hAnsi="Symbol" w:hint="default"/>
      </w:rPr>
    </w:lvl>
    <w:lvl w:ilvl="7" w:tplc="EDFC6636" w:tentative="1">
      <w:start w:val="1"/>
      <w:numFmt w:val="bullet"/>
      <w:lvlText w:val="o"/>
      <w:lvlJc w:val="left"/>
      <w:pPr>
        <w:ind w:left="6955" w:hanging="360"/>
      </w:pPr>
      <w:rPr>
        <w:rFonts w:ascii="Courier New" w:hAnsi="Courier New" w:cs="Courier New" w:hint="default"/>
      </w:rPr>
    </w:lvl>
    <w:lvl w:ilvl="8" w:tplc="936AB858" w:tentative="1">
      <w:start w:val="1"/>
      <w:numFmt w:val="bullet"/>
      <w:lvlText w:val=""/>
      <w:lvlJc w:val="left"/>
      <w:pPr>
        <w:ind w:left="7675" w:hanging="360"/>
      </w:pPr>
      <w:rPr>
        <w:rFonts w:ascii="Wingdings" w:hAnsi="Wingdings" w:hint="default"/>
      </w:rPr>
    </w:lvl>
  </w:abstractNum>
  <w:abstractNum w:abstractNumId="6" w15:restartNumberingAfterBreak="0">
    <w:nsid w:val="3F0324A3"/>
    <w:multiLevelType w:val="hybridMultilevel"/>
    <w:tmpl w:val="5C547304"/>
    <w:lvl w:ilvl="0" w:tplc="599E77D0">
      <w:start w:val="1"/>
      <w:numFmt w:val="lowerLetter"/>
      <w:lvlText w:val="(%1)"/>
      <w:lvlJc w:val="left"/>
      <w:pPr>
        <w:ind w:left="1440" w:hanging="360"/>
      </w:pPr>
      <w:rPr>
        <w:rFonts w:hint="default"/>
        <w:b w:val="0"/>
        <w:i w:val="0"/>
        <w:color w:val="auto"/>
        <w:sz w:val="22"/>
        <w:szCs w:val="22"/>
      </w:rPr>
    </w:lvl>
    <w:lvl w:ilvl="1" w:tplc="FFECACE4">
      <w:start w:val="1"/>
      <w:numFmt w:val="lowerLetter"/>
      <w:lvlText w:val="%2."/>
      <w:lvlJc w:val="left"/>
      <w:pPr>
        <w:ind w:left="2160" w:hanging="360"/>
      </w:pPr>
    </w:lvl>
    <w:lvl w:ilvl="2" w:tplc="24C88472" w:tentative="1">
      <w:start w:val="1"/>
      <w:numFmt w:val="lowerRoman"/>
      <w:lvlText w:val="%3."/>
      <w:lvlJc w:val="right"/>
      <w:pPr>
        <w:ind w:left="2880" w:hanging="180"/>
      </w:pPr>
    </w:lvl>
    <w:lvl w:ilvl="3" w:tplc="71DA5C86" w:tentative="1">
      <w:start w:val="1"/>
      <w:numFmt w:val="decimal"/>
      <w:lvlText w:val="%4."/>
      <w:lvlJc w:val="left"/>
      <w:pPr>
        <w:ind w:left="3600" w:hanging="360"/>
      </w:pPr>
    </w:lvl>
    <w:lvl w:ilvl="4" w:tplc="F3CC5F8E" w:tentative="1">
      <w:start w:val="1"/>
      <w:numFmt w:val="lowerLetter"/>
      <w:lvlText w:val="%5."/>
      <w:lvlJc w:val="left"/>
      <w:pPr>
        <w:ind w:left="4320" w:hanging="360"/>
      </w:pPr>
    </w:lvl>
    <w:lvl w:ilvl="5" w:tplc="3CAE4F14" w:tentative="1">
      <w:start w:val="1"/>
      <w:numFmt w:val="lowerRoman"/>
      <w:lvlText w:val="%6."/>
      <w:lvlJc w:val="right"/>
      <w:pPr>
        <w:ind w:left="5040" w:hanging="180"/>
      </w:pPr>
    </w:lvl>
    <w:lvl w:ilvl="6" w:tplc="2D0EB63E" w:tentative="1">
      <w:start w:val="1"/>
      <w:numFmt w:val="decimal"/>
      <w:lvlText w:val="%7."/>
      <w:lvlJc w:val="left"/>
      <w:pPr>
        <w:ind w:left="5760" w:hanging="360"/>
      </w:pPr>
    </w:lvl>
    <w:lvl w:ilvl="7" w:tplc="190C4ABA" w:tentative="1">
      <w:start w:val="1"/>
      <w:numFmt w:val="lowerLetter"/>
      <w:lvlText w:val="%8."/>
      <w:lvlJc w:val="left"/>
      <w:pPr>
        <w:ind w:left="6480" w:hanging="360"/>
      </w:pPr>
    </w:lvl>
    <w:lvl w:ilvl="8" w:tplc="4D0E61F2" w:tentative="1">
      <w:start w:val="1"/>
      <w:numFmt w:val="lowerRoman"/>
      <w:lvlText w:val="%9."/>
      <w:lvlJc w:val="right"/>
      <w:pPr>
        <w:ind w:left="7200" w:hanging="180"/>
      </w:pPr>
    </w:lvl>
  </w:abstractNum>
  <w:abstractNum w:abstractNumId="7" w15:restartNumberingAfterBreak="0">
    <w:nsid w:val="4A557508"/>
    <w:multiLevelType w:val="multilevel"/>
    <w:tmpl w:val="DC7288AA"/>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080" w:hanging="360"/>
      </w:pPr>
      <w:rPr>
        <w:rFonts w:hint="default"/>
      </w:r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5F3049"/>
    <w:multiLevelType w:val="hybridMultilevel"/>
    <w:tmpl w:val="5C547304"/>
    <w:lvl w:ilvl="0" w:tplc="29144CB0">
      <w:start w:val="1"/>
      <w:numFmt w:val="lowerLetter"/>
      <w:lvlText w:val="(%1)"/>
      <w:lvlJc w:val="left"/>
      <w:pPr>
        <w:ind w:left="1440" w:hanging="360"/>
      </w:pPr>
      <w:rPr>
        <w:rFonts w:hint="default"/>
        <w:b w:val="0"/>
        <w:i w:val="0"/>
        <w:color w:val="auto"/>
        <w:sz w:val="22"/>
        <w:szCs w:val="22"/>
      </w:rPr>
    </w:lvl>
    <w:lvl w:ilvl="1" w:tplc="7C7E87C4">
      <w:start w:val="1"/>
      <w:numFmt w:val="lowerLetter"/>
      <w:lvlText w:val="%2."/>
      <w:lvlJc w:val="left"/>
      <w:pPr>
        <w:ind w:left="2160" w:hanging="360"/>
      </w:pPr>
    </w:lvl>
    <w:lvl w:ilvl="2" w:tplc="DA404AC6" w:tentative="1">
      <w:start w:val="1"/>
      <w:numFmt w:val="lowerRoman"/>
      <w:lvlText w:val="%3."/>
      <w:lvlJc w:val="right"/>
      <w:pPr>
        <w:ind w:left="2880" w:hanging="180"/>
      </w:pPr>
    </w:lvl>
    <w:lvl w:ilvl="3" w:tplc="172EC148" w:tentative="1">
      <w:start w:val="1"/>
      <w:numFmt w:val="decimal"/>
      <w:lvlText w:val="%4."/>
      <w:lvlJc w:val="left"/>
      <w:pPr>
        <w:ind w:left="3600" w:hanging="360"/>
      </w:pPr>
    </w:lvl>
    <w:lvl w:ilvl="4" w:tplc="9B9AD4F2" w:tentative="1">
      <w:start w:val="1"/>
      <w:numFmt w:val="lowerLetter"/>
      <w:lvlText w:val="%5."/>
      <w:lvlJc w:val="left"/>
      <w:pPr>
        <w:ind w:left="4320" w:hanging="360"/>
      </w:pPr>
    </w:lvl>
    <w:lvl w:ilvl="5" w:tplc="01E622D2" w:tentative="1">
      <w:start w:val="1"/>
      <w:numFmt w:val="lowerRoman"/>
      <w:lvlText w:val="%6."/>
      <w:lvlJc w:val="right"/>
      <w:pPr>
        <w:ind w:left="5040" w:hanging="180"/>
      </w:pPr>
    </w:lvl>
    <w:lvl w:ilvl="6" w:tplc="31FE50A0" w:tentative="1">
      <w:start w:val="1"/>
      <w:numFmt w:val="decimal"/>
      <w:lvlText w:val="%7."/>
      <w:lvlJc w:val="left"/>
      <w:pPr>
        <w:ind w:left="5760" w:hanging="360"/>
      </w:pPr>
    </w:lvl>
    <w:lvl w:ilvl="7" w:tplc="94FCEAEE" w:tentative="1">
      <w:start w:val="1"/>
      <w:numFmt w:val="lowerLetter"/>
      <w:lvlText w:val="%8."/>
      <w:lvlJc w:val="left"/>
      <w:pPr>
        <w:ind w:left="6480" w:hanging="360"/>
      </w:pPr>
    </w:lvl>
    <w:lvl w:ilvl="8" w:tplc="6F381520" w:tentative="1">
      <w:start w:val="1"/>
      <w:numFmt w:val="lowerRoman"/>
      <w:lvlText w:val="%9."/>
      <w:lvlJc w:val="right"/>
      <w:pPr>
        <w:ind w:left="7200" w:hanging="180"/>
      </w:pPr>
    </w:lvl>
  </w:abstractNum>
  <w:abstractNum w:abstractNumId="9" w15:restartNumberingAfterBreak="0">
    <w:nsid w:val="5B60350B"/>
    <w:multiLevelType w:val="hybridMultilevel"/>
    <w:tmpl w:val="58CC023A"/>
    <w:lvl w:ilvl="0" w:tplc="69F2094C">
      <w:start w:val="1"/>
      <w:numFmt w:val="lowerRoman"/>
      <w:lvlText w:val="%1."/>
      <w:lvlJc w:val="right"/>
      <w:pPr>
        <w:ind w:left="720" w:hanging="360"/>
      </w:pPr>
    </w:lvl>
    <w:lvl w:ilvl="1" w:tplc="203AA998">
      <w:start w:val="1"/>
      <w:numFmt w:val="lowerLetter"/>
      <w:lvlText w:val="(%2)"/>
      <w:lvlJc w:val="left"/>
      <w:pPr>
        <w:ind w:left="1440" w:hanging="360"/>
      </w:pPr>
      <w:rPr>
        <w:rFonts w:hint="default"/>
        <w:b w:val="0"/>
        <w:i w:val="0"/>
        <w:color w:val="auto"/>
        <w:sz w:val="22"/>
        <w:szCs w:val="22"/>
      </w:rPr>
    </w:lvl>
    <w:lvl w:ilvl="2" w:tplc="B0509FAA">
      <w:start w:val="1"/>
      <w:numFmt w:val="lowerRoman"/>
      <w:lvlText w:val="%3."/>
      <w:lvlJc w:val="right"/>
      <w:pPr>
        <w:ind w:left="2160" w:hanging="180"/>
      </w:pPr>
    </w:lvl>
    <w:lvl w:ilvl="3" w:tplc="D892E48C" w:tentative="1">
      <w:start w:val="1"/>
      <w:numFmt w:val="decimal"/>
      <w:lvlText w:val="%4."/>
      <w:lvlJc w:val="left"/>
      <w:pPr>
        <w:ind w:left="2880" w:hanging="360"/>
      </w:pPr>
    </w:lvl>
    <w:lvl w:ilvl="4" w:tplc="919ED318" w:tentative="1">
      <w:start w:val="1"/>
      <w:numFmt w:val="lowerLetter"/>
      <w:lvlText w:val="%5."/>
      <w:lvlJc w:val="left"/>
      <w:pPr>
        <w:ind w:left="3600" w:hanging="360"/>
      </w:pPr>
    </w:lvl>
    <w:lvl w:ilvl="5" w:tplc="FF8C2AB0" w:tentative="1">
      <w:start w:val="1"/>
      <w:numFmt w:val="lowerRoman"/>
      <w:lvlText w:val="%6."/>
      <w:lvlJc w:val="right"/>
      <w:pPr>
        <w:ind w:left="4320" w:hanging="180"/>
      </w:pPr>
    </w:lvl>
    <w:lvl w:ilvl="6" w:tplc="0EECEB62" w:tentative="1">
      <w:start w:val="1"/>
      <w:numFmt w:val="decimal"/>
      <w:lvlText w:val="%7."/>
      <w:lvlJc w:val="left"/>
      <w:pPr>
        <w:ind w:left="5040" w:hanging="360"/>
      </w:pPr>
    </w:lvl>
    <w:lvl w:ilvl="7" w:tplc="A6384400" w:tentative="1">
      <w:start w:val="1"/>
      <w:numFmt w:val="lowerLetter"/>
      <w:lvlText w:val="%8."/>
      <w:lvlJc w:val="left"/>
      <w:pPr>
        <w:ind w:left="5760" w:hanging="360"/>
      </w:pPr>
    </w:lvl>
    <w:lvl w:ilvl="8" w:tplc="1E449988" w:tentative="1">
      <w:start w:val="1"/>
      <w:numFmt w:val="lowerRoman"/>
      <w:lvlText w:val="%9."/>
      <w:lvlJc w:val="right"/>
      <w:pPr>
        <w:ind w:left="6480" w:hanging="180"/>
      </w:pPr>
    </w:lvl>
  </w:abstractNum>
  <w:abstractNum w:abstractNumId="10" w15:restartNumberingAfterBreak="0">
    <w:nsid w:val="5F353BAA"/>
    <w:multiLevelType w:val="hybridMultilevel"/>
    <w:tmpl w:val="26D6525C"/>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9F3633"/>
    <w:multiLevelType w:val="hybridMultilevel"/>
    <w:tmpl w:val="E236CAB0"/>
    <w:lvl w:ilvl="0" w:tplc="301E7014">
      <w:start w:val="1"/>
      <w:numFmt w:val="lowerLetter"/>
      <w:lvlText w:val="(%1)"/>
      <w:lvlJc w:val="left"/>
      <w:pPr>
        <w:ind w:left="1080" w:hanging="720"/>
      </w:pPr>
      <w:rPr>
        <w:rFonts w:hint="default"/>
        <w:b w:val="0"/>
        <w:i w:val="0"/>
        <w:color w:val="auto"/>
        <w:sz w:val="22"/>
        <w:szCs w:val="22"/>
      </w:rPr>
    </w:lvl>
    <w:lvl w:ilvl="1" w:tplc="1A207C3E" w:tentative="1">
      <w:start w:val="1"/>
      <w:numFmt w:val="lowerLetter"/>
      <w:lvlText w:val="%2."/>
      <w:lvlJc w:val="left"/>
      <w:pPr>
        <w:ind w:left="1440" w:hanging="360"/>
      </w:pPr>
    </w:lvl>
    <w:lvl w:ilvl="2" w:tplc="D1A89AEE" w:tentative="1">
      <w:start w:val="1"/>
      <w:numFmt w:val="lowerRoman"/>
      <w:lvlText w:val="%3."/>
      <w:lvlJc w:val="right"/>
      <w:pPr>
        <w:ind w:left="2160" w:hanging="180"/>
      </w:pPr>
    </w:lvl>
    <w:lvl w:ilvl="3" w:tplc="186C391E" w:tentative="1">
      <w:start w:val="1"/>
      <w:numFmt w:val="decimal"/>
      <w:lvlText w:val="%4."/>
      <w:lvlJc w:val="left"/>
      <w:pPr>
        <w:ind w:left="2880" w:hanging="360"/>
      </w:pPr>
    </w:lvl>
    <w:lvl w:ilvl="4" w:tplc="A482B148" w:tentative="1">
      <w:start w:val="1"/>
      <w:numFmt w:val="lowerLetter"/>
      <w:lvlText w:val="%5."/>
      <w:lvlJc w:val="left"/>
      <w:pPr>
        <w:ind w:left="3600" w:hanging="360"/>
      </w:pPr>
    </w:lvl>
    <w:lvl w:ilvl="5" w:tplc="C67E7F42" w:tentative="1">
      <w:start w:val="1"/>
      <w:numFmt w:val="lowerRoman"/>
      <w:lvlText w:val="%6."/>
      <w:lvlJc w:val="right"/>
      <w:pPr>
        <w:ind w:left="4320" w:hanging="180"/>
      </w:pPr>
    </w:lvl>
    <w:lvl w:ilvl="6" w:tplc="8AB4B750" w:tentative="1">
      <w:start w:val="1"/>
      <w:numFmt w:val="decimal"/>
      <w:lvlText w:val="%7."/>
      <w:lvlJc w:val="left"/>
      <w:pPr>
        <w:ind w:left="5040" w:hanging="360"/>
      </w:pPr>
    </w:lvl>
    <w:lvl w:ilvl="7" w:tplc="312E22C6" w:tentative="1">
      <w:start w:val="1"/>
      <w:numFmt w:val="lowerLetter"/>
      <w:lvlText w:val="%8."/>
      <w:lvlJc w:val="left"/>
      <w:pPr>
        <w:ind w:left="5760" w:hanging="360"/>
      </w:pPr>
    </w:lvl>
    <w:lvl w:ilvl="8" w:tplc="867227B6" w:tentative="1">
      <w:start w:val="1"/>
      <w:numFmt w:val="lowerRoman"/>
      <w:lvlText w:val="%9."/>
      <w:lvlJc w:val="right"/>
      <w:pPr>
        <w:ind w:left="6480" w:hanging="180"/>
      </w:pPr>
    </w:lvl>
  </w:abstractNum>
  <w:abstractNum w:abstractNumId="12" w15:restartNumberingAfterBreak="0">
    <w:nsid w:val="6E161740"/>
    <w:multiLevelType w:val="hybridMultilevel"/>
    <w:tmpl w:val="5472ECBC"/>
    <w:lvl w:ilvl="0" w:tplc="030EA354">
      <w:start w:val="1"/>
      <w:numFmt w:val="lowerLetter"/>
      <w:lvlText w:val="(%1)"/>
      <w:lvlJc w:val="left"/>
      <w:pPr>
        <w:ind w:left="1440" w:hanging="360"/>
      </w:pPr>
      <w:rPr>
        <w:rFonts w:hint="default"/>
        <w:b w:val="0"/>
        <w:i w:val="0"/>
        <w:color w:val="auto"/>
        <w:sz w:val="22"/>
        <w:szCs w:val="22"/>
      </w:rPr>
    </w:lvl>
    <w:lvl w:ilvl="1" w:tplc="54662BEA" w:tentative="1">
      <w:start w:val="1"/>
      <w:numFmt w:val="lowerLetter"/>
      <w:lvlText w:val="%2."/>
      <w:lvlJc w:val="left"/>
      <w:pPr>
        <w:ind w:left="2160" w:hanging="360"/>
      </w:pPr>
    </w:lvl>
    <w:lvl w:ilvl="2" w:tplc="089217B2" w:tentative="1">
      <w:start w:val="1"/>
      <w:numFmt w:val="lowerRoman"/>
      <w:lvlText w:val="%3."/>
      <w:lvlJc w:val="right"/>
      <w:pPr>
        <w:ind w:left="2880" w:hanging="180"/>
      </w:pPr>
    </w:lvl>
    <w:lvl w:ilvl="3" w:tplc="56520B28" w:tentative="1">
      <w:start w:val="1"/>
      <w:numFmt w:val="decimal"/>
      <w:lvlText w:val="%4."/>
      <w:lvlJc w:val="left"/>
      <w:pPr>
        <w:ind w:left="3600" w:hanging="360"/>
      </w:pPr>
    </w:lvl>
    <w:lvl w:ilvl="4" w:tplc="55E00848" w:tentative="1">
      <w:start w:val="1"/>
      <w:numFmt w:val="lowerLetter"/>
      <w:lvlText w:val="%5."/>
      <w:lvlJc w:val="left"/>
      <w:pPr>
        <w:ind w:left="4320" w:hanging="360"/>
      </w:pPr>
    </w:lvl>
    <w:lvl w:ilvl="5" w:tplc="12140F44" w:tentative="1">
      <w:start w:val="1"/>
      <w:numFmt w:val="lowerRoman"/>
      <w:lvlText w:val="%6."/>
      <w:lvlJc w:val="right"/>
      <w:pPr>
        <w:ind w:left="5040" w:hanging="180"/>
      </w:pPr>
    </w:lvl>
    <w:lvl w:ilvl="6" w:tplc="FB5ECFEA" w:tentative="1">
      <w:start w:val="1"/>
      <w:numFmt w:val="decimal"/>
      <w:lvlText w:val="%7."/>
      <w:lvlJc w:val="left"/>
      <w:pPr>
        <w:ind w:left="5760" w:hanging="360"/>
      </w:pPr>
    </w:lvl>
    <w:lvl w:ilvl="7" w:tplc="E9E8FE44" w:tentative="1">
      <w:start w:val="1"/>
      <w:numFmt w:val="lowerLetter"/>
      <w:lvlText w:val="%8."/>
      <w:lvlJc w:val="left"/>
      <w:pPr>
        <w:ind w:left="6480" w:hanging="360"/>
      </w:pPr>
    </w:lvl>
    <w:lvl w:ilvl="8" w:tplc="31F00FC2" w:tentative="1">
      <w:start w:val="1"/>
      <w:numFmt w:val="lowerRoman"/>
      <w:lvlText w:val="%9."/>
      <w:lvlJc w:val="right"/>
      <w:pPr>
        <w:ind w:left="7200" w:hanging="180"/>
      </w:pPr>
    </w:lvl>
  </w:abstractNum>
  <w:abstractNum w:abstractNumId="13" w15:restartNumberingAfterBreak="0">
    <w:nsid w:val="6F623F83"/>
    <w:multiLevelType w:val="hybridMultilevel"/>
    <w:tmpl w:val="72A20FA8"/>
    <w:lvl w:ilvl="0" w:tplc="9B2C7F96">
      <w:start w:val="1"/>
      <w:numFmt w:val="lowerLetter"/>
      <w:lvlText w:val="(%1)"/>
      <w:lvlJc w:val="left"/>
      <w:pPr>
        <w:ind w:left="1080" w:hanging="360"/>
      </w:pPr>
      <w:rPr>
        <w:rFonts w:hint="default"/>
        <w:b w:val="0"/>
        <w:i w:val="0"/>
        <w:color w:val="auto"/>
        <w:sz w:val="22"/>
        <w:szCs w:val="22"/>
      </w:rPr>
    </w:lvl>
    <w:lvl w:ilvl="1" w:tplc="22F6AEF0" w:tentative="1">
      <w:start w:val="1"/>
      <w:numFmt w:val="lowerLetter"/>
      <w:lvlText w:val="%2."/>
      <w:lvlJc w:val="left"/>
      <w:pPr>
        <w:ind w:left="1800" w:hanging="360"/>
      </w:pPr>
    </w:lvl>
    <w:lvl w:ilvl="2" w:tplc="C374F43E" w:tentative="1">
      <w:start w:val="1"/>
      <w:numFmt w:val="lowerRoman"/>
      <w:lvlText w:val="%3."/>
      <w:lvlJc w:val="right"/>
      <w:pPr>
        <w:ind w:left="2520" w:hanging="180"/>
      </w:pPr>
    </w:lvl>
    <w:lvl w:ilvl="3" w:tplc="9EF24ACC" w:tentative="1">
      <w:start w:val="1"/>
      <w:numFmt w:val="decimal"/>
      <w:lvlText w:val="%4."/>
      <w:lvlJc w:val="left"/>
      <w:pPr>
        <w:ind w:left="3240" w:hanging="360"/>
      </w:pPr>
    </w:lvl>
    <w:lvl w:ilvl="4" w:tplc="C1661D96" w:tentative="1">
      <w:start w:val="1"/>
      <w:numFmt w:val="lowerLetter"/>
      <w:lvlText w:val="%5."/>
      <w:lvlJc w:val="left"/>
      <w:pPr>
        <w:ind w:left="3960" w:hanging="360"/>
      </w:pPr>
    </w:lvl>
    <w:lvl w:ilvl="5" w:tplc="8BD635F4" w:tentative="1">
      <w:start w:val="1"/>
      <w:numFmt w:val="lowerRoman"/>
      <w:lvlText w:val="%6."/>
      <w:lvlJc w:val="right"/>
      <w:pPr>
        <w:ind w:left="4680" w:hanging="180"/>
      </w:pPr>
    </w:lvl>
    <w:lvl w:ilvl="6" w:tplc="292AA052" w:tentative="1">
      <w:start w:val="1"/>
      <w:numFmt w:val="decimal"/>
      <w:lvlText w:val="%7."/>
      <w:lvlJc w:val="left"/>
      <w:pPr>
        <w:ind w:left="5400" w:hanging="360"/>
      </w:pPr>
    </w:lvl>
    <w:lvl w:ilvl="7" w:tplc="F6442582" w:tentative="1">
      <w:start w:val="1"/>
      <w:numFmt w:val="lowerLetter"/>
      <w:lvlText w:val="%8."/>
      <w:lvlJc w:val="left"/>
      <w:pPr>
        <w:ind w:left="6120" w:hanging="360"/>
      </w:pPr>
    </w:lvl>
    <w:lvl w:ilvl="8" w:tplc="324E2DE0" w:tentative="1">
      <w:start w:val="1"/>
      <w:numFmt w:val="lowerRoman"/>
      <w:lvlText w:val="%9."/>
      <w:lvlJc w:val="right"/>
      <w:pPr>
        <w:ind w:left="6840" w:hanging="180"/>
      </w:pPr>
    </w:lvl>
  </w:abstractNum>
  <w:abstractNum w:abstractNumId="14" w15:restartNumberingAfterBreak="0">
    <w:nsid w:val="6F705BD9"/>
    <w:multiLevelType w:val="multilevel"/>
    <w:tmpl w:val="DC7288AA"/>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1080" w:hanging="360"/>
      </w:pPr>
      <w:rPr>
        <w:rFonts w:hint="default"/>
      </w:r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D31B26"/>
    <w:multiLevelType w:val="hybridMultilevel"/>
    <w:tmpl w:val="81AC45CE"/>
    <w:lvl w:ilvl="0" w:tplc="4B880F42">
      <w:start w:val="1"/>
      <w:numFmt w:val="bullet"/>
      <w:lvlText w:val=""/>
      <w:lvlJc w:val="left"/>
      <w:pPr>
        <w:ind w:left="720" w:hanging="360"/>
      </w:pPr>
      <w:rPr>
        <w:rFonts w:ascii="Symbol" w:hAnsi="Symbol" w:hint="default"/>
      </w:rPr>
    </w:lvl>
    <w:lvl w:ilvl="1" w:tplc="B9B00C94" w:tentative="1">
      <w:start w:val="1"/>
      <w:numFmt w:val="bullet"/>
      <w:lvlText w:val="o"/>
      <w:lvlJc w:val="left"/>
      <w:pPr>
        <w:ind w:left="1440" w:hanging="360"/>
      </w:pPr>
      <w:rPr>
        <w:rFonts w:ascii="Courier New" w:hAnsi="Courier New" w:cs="Courier New" w:hint="default"/>
      </w:rPr>
    </w:lvl>
    <w:lvl w:ilvl="2" w:tplc="F5F692C2" w:tentative="1">
      <w:start w:val="1"/>
      <w:numFmt w:val="bullet"/>
      <w:lvlText w:val=""/>
      <w:lvlJc w:val="left"/>
      <w:pPr>
        <w:ind w:left="2160" w:hanging="360"/>
      </w:pPr>
      <w:rPr>
        <w:rFonts w:ascii="Wingdings" w:hAnsi="Wingdings" w:hint="default"/>
      </w:rPr>
    </w:lvl>
    <w:lvl w:ilvl="3" w:tplc="8A9AB9C6" w:tentative="1">
      <w:start w:val="1"/>
      <w:numFmt w:val="bullet"/>
      <w:lvlText w:val=""/>
      <w:lvlJc w:val="left"/>
      <w:pPr>
        <w:ind w:left="2880" w:hanging="360"/>
      </w:pPr>
      <w:rPr>
        <w:rFonts w:ascii="Symbol" w:hAnsi="Symbol" w:hint="default"/>
      </w:rPr>
    </w:lvl>
    <w:lvl w:ilvl="4" w:tplc="77125580" w:tentative="1">
      <w:start w:val="1"/>
      <w:numFmt w:val="bullet"/>
      <w:lvlText w:val="o"/>
      <w:lvlJc w:val="left"/>
      <w:pPr>
        <w:ind w:left="3600" w:hanging="360"/>
      </w:pPr>
      <w:rPr>
        <w:rFonts w:ascii="Courier New" w:hAnsi="Courier New" w:cs="Courier New" w:hint="default"/>
      </w:rPr>
    </w:lvl>
    <w:lvl w:ilvl="5" w:tplc="98824EA4" w:tentative="1">
      <w:start w:val="1"/>
      <w:numFmt w:val="bullet"/>
      <w:lvlText w:val=""/>
      <w:lvlJc w:val="left"/>
      <w:pPr>
        <w:ind w:left="4320" w:hanging="360"/>
      </w:pPr>
      <w:rPr>
        <w:rFonts w:ascii="Wingdings" w:hAnsi="Wingdings" w:hint="default"/>
      </w:rPr>
    </w:lvl>
    <w:lvl w:ilvl="6" w:tplc="71E008C2" w:tentative="1">
      <w:start w:val="1"/>
      <w:numFmt w:val="bullet"/>
      <w:lvlText w:val=""/>
      <w:lvlJc w:val="left"/>
      <w:pPr>
        <w:ind w:left="5040" w:hanging="360"/>
      </w:pPr>
      <w:rPr>
        <w:rFonts w:ascii="Symbol" w:hAnsi="Symbol" w:hint="default"/>
      </w:rPr>
    </w:lvl>
    <w:lvl w:ilvl="7" w:tplc="7C869D42" w:tentative="1">
      <w:start w:val="1"/>
      <w:numFmt w:val="bullet"/>
      <w:lvlText w:val="o"/>
      <w:lvlJc w:val="left"/>
      <w:pPr>
        <w:ind w:left="5760" w:hanging="360"/>
      </w:pPr>
      <w:rPr>
        <w:rFonts w:ascii="Courier New" w:hAnsi="Courier New" w:cs="Courier New" w:hint="default"/>
      </w:rPr>
    </w:lvl>
    <w:lvl w:ilvl="8" w:tplc="7988B9B6" w:tentative="1">
      <w:start w:val="1"/>
      <w:numFmt w:val="bullet"/>
      <w:lvlText w:val=""/>
      <w:lvlJc w:val="left"/>
      <w:pPr>
        <w:ind w:left="6480" w:hanging="360"/>
      </w:pPr>
      <w:rPr>
        <w:rFonts w:ascii="Wingdings" w:hAnsi="Wingdings" w:hint="default"/>
      </w:rPr>
    </w:lvl>
  </w:abstractNum>
  <w:abstractNum w:abstractNumId="16" w15:restartNumberingAfterBreak="0">
    <w:nsid w:val="7E113494"/>
    <w:multiLevelType w:val="multilevel"/>
    <w:tmpl w:val="668C7EF2"/>
    <w:lvl w:ilvl="0">
      <w:start w:val="1"/>
      <w:numFmt w:val="decimal"/>
      <w:lvlText w:val="%1"/>
      <w:lvlJc w:val="left"/>
      <w:pPr>
        <w:ind w:left="360" w:hanging="360"/>
      </w:pPr>
      <w:rPr>
        <w:rFonts w:ascii="Garamond" w:eastAsia="Calibri" w:hAnsi="Garamond" w:cs="Times New Roman"/>
      </w:rPr>
    </w:lvl>
    <w:lvl w:ilvl="1">
      <w:start w:val="1"/>
      <w:numFmt w:val="decimal"/>
      <w:lvlText w:val="%1.%2."/>
      <w:lvlJc w:val="left"/>
      <w:pPr>
        <w:ind w:left="792" w:hanging="432"/>
      </w:pPr>
    </w:lvl>
    <w:lvl w:ilvl="2">
      <w:start w:val="1"/>
      <w:numFmt w:val="lowerRoman"/>
      <w:lvlText w:val="%3."/>
      <w:lvlJc w:val="right"/>
      <w:pPr>
        <w:ind w:left="1080" w:hanging="360"/>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4"/>
  </w:num>
  <w:num w:numId="3">
    <w:abstractNumId w:val="7"/>
  </w:num>
  <w:num w:numId="4">
    <w:abstractNumId w:val="4"/>
  </w:num>
  <w:num w:numId="5">
    <w:abstractNumId w:val="3"/>
  </w:num>
  <w:num w:numId="6">
    <w:abstractNumId w:val="6"/>
  </w:num>
  <w:num w:numId="7">
    <w:abstractNumId w:val="1"/>
  </w:num>
  <w:num w:numId="8">
    <w:abstractNumId w:val="9"/>
  </w:num>
  <w:num w:numId="9">
    <w:abstractNumId w:val="0"/>
  </w:num>
  <w:num w:numId="10">
    <w:abstractNumId w:val="11"/>
  </w:num>
  <w:num w:numId="11">
    <w:abstractNumId w:val="12"/>
  </w:num>
  <w:num w:numId="12">
    <w:abstractNumId w:val="13"/>
  </w:num>
  <w:num w:numId="13">
    <w:abstractNumId w:val="15"/>
  </w:num>
  <w:num w:numId="14">
    <w:abstractNumId w:val="5"/>
  </w:num>
  <w:num w:numId="15">
    <w:abstractNumId w:val="8"/>
  </w:num>
  <w:num w:numId="16">
    <w:abstractNumId w:val="10"/>
  </w:num>
  <w:num w:numId="1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0B"/>
    <w:rsid w:val="00010AC5"/>
    <w:rsid w:val="00013F38"/>
    <w:rsid w:val="000241B1"/>
    <w:rsid w:val="000326F1"/>
    <w:rsid w:val="000400E6"/>
    <w:rsid w:val="00042E5E"/>
    <w:rsid w:val="00044B78"/>
    <w:rsid w:val="00051730"/>
    <w:rsid w:val="00063001"/>
    <w:rsid w:val="00071513"/>
    <w:rsid w:val="00072581"/>
    <w:rsid w:val="00076DDC"/>
    <w:rsid w:val="00080956"/>
    <w:rsid w:val="00080F32"/>
    <w:rsid w:val="00085042"/>
    <w:rsid w:val="00086455"/>
    <w:rsid w:val="000C42F4"/>
    <w:rsid w:val="001074AD"/>
    <w:rsid w:val="00107824"/>
    <w:rsid w:val="0011360D"/>
    <w:rsid w:val="00122A11"/>
    <w:rsid w:val="00135294"/>
    <w:rsid w:val="00150B54"/>
    <w:rsid w:val="0015218F"/>
    <w:rsid w:val="00190809"/>
    <w:rsid w:val="001A7855"/>
    <w:rsid w:val="001B1751"/>
    <w:rsid w:val="001B3AED"/>
    <w:rsid w:val="001E0B5B"/>
    <w:rsid w:val="00203111"/>
    <w:rsid w:val="00212CFA"/>
    <w:rsid w:val="00234B5A"/>
    <w:rsid w:val="0023715B"/>
    <w:rsid w:val="00250CA1"/>
    <w:rsid w:val="002672EE"/>
    <w:rsid w:val="0026758A"/>
    <w:rsid w:val="002824F4"/>
    <w:rsid w:val="002B2FEC"/>
    <w:rsid w:val="002B3149"/>
    <w:rsid w:val="002B5D11"/>
    <w:rsid w:val="002C271D"/>
    <w:rsid w:val="002C3A23"/>
    <w:rsid w:val="002C7C01"/>
    <w:rsid w:val="002D05AE"/>
    <w:rsid w:val="002D5669"/>
    <w:rsid w:val="002D7DF7"/>
    <w:rsid w:val="002F03C9"/>
    <w:rsid w:val="002F3CEC"/>
    <w:rsid w:val="002F70AE"/>
    <w:rsid w:val="003053EB"/>
    <w:rsid w:val="00320A89"/>
    <w:rsid w:val="003267CB"/>
    <w:rsid w:val="003370C6"/>
    <w:rsid w:val="0034148D"/>
    <w:rsid w:val="00341EE8"/>
    <w:rsid w:val="0034257D"/>
    <w:rsid w:val="00346B55"/>
    <w:rsid w:val="00350955"/>
    <w:rsid w:val="00363D3E"/>
    <w:rsid w:val="00363E1A"/>
    <w:rsid w:val="0037469D"/>
    <w:rsid w:val="00380DDD"/>
    <w:rsid w:val="00385587"/>
    <w:rsid w:val="00397E1C"/>
    <w:rsid w:val="003B6916"/>
    <w:rsid w:val="003D120E"/>
    <w:rsid w:val="003E131E"/>
    <w:rsid w:val="003E5858"/>
    <w:rsid w:val="003F36E1"/>
    <w:rsid w:val="004041E1"/>
    <w:rsid w:val="004168B0"/>
    <w:rsid w:val="00423620"/>
    <w:rsid w:val="00424E3C"/>
    <w:rsid w:val="00432CC3"/>
    <w:rsid w:val="00441799"/>
    <w:rsid w:val="0044275A"/>
    <w:rsid w:val="0044308A"/>
    <w:rsid w:val="00455069"/>
    <w:rsid w:val="0046342C"/>
    <w:rsid w:val="00474C1F"/>
    <w:rsid w:val="00475054"/>
    <w:rsid w:val="00482035"/>
    <w:rsid w:val="00487301"/>
    <w:rsid w:val="00492AAC"/>
    <w:rsid w:val="004A408F"/>
    <w:rsid w:val="004B413F"/>
    <w:rsid w:val="004C25AC"/>
    <w:rsid w:val="004D3186"/>
    <w:rsid w:val="004D3988"/>
    <w:rsid w:val="004E118E"/>
    <w:rsid w:val="004E3C94"/>
    <w:rsid w:val="004E6585"/>
    <w:rsid w:val="00502C0E"/>
    <w:rsid w:val="00507F09"/>
    <w:rsid w:val="00513BFD"/>
    <w:rsid w:val="005167E8"/>
    <w:rsid w:val="00521EB0"/>
    <w:rsid w:val="00525116"/>
    <w:rsid w:val="005343A5"/>
    <w:rsid w:val="00573642"/>
    <w:rsid w:val="005932ED"/>
    <w:rsid w:val="00595676"/>
    <w:rsid w:val="005B514E"/>
    <w:rsid w:val="005B5C75"/>
    <w:rsid w:val="005B6CB1"/>
    <w:rsid w:val="005C14A6"/>
    <w:rsid w:val="005D57DA"/>
    <w:rsid w:val="005F23DB"/>
    <w:rsid w:val="005F48E3"/>
    <w:rsid w:val="0060674A"/>
    <w:rsid w:val="0061224D"/>
    <w:rsid w:val="00621F1D"/>
    <w:rsid w:val="00622C1D"/>
    <w:rsid w:val="0062782D"/>
    <w:rsid w:val="00645BFC"/>
    <w:rsid w:val="00671403"/>
    <w:rsid w:val="00671BD5"/>
    <w:rsid w:val="006825C3"/>
    <w:rsid w:val="006B05A1"/>
    <w:rsid w:val="006B62EC"/>
    <w:rsid w:val="006D199B"/>
    <w:rsid w:val="006D6645"/>
    <w:rsid w:val="006F74A1"/>
    <w:rsid w:val="0070198E"/>
    <w:rsid w:val="007153F0"/>
    <w:rsid w:val="007235CF"/>
    <w:rsid w:val="00737F3D"/>
    <w:rsid w:val="00741068"/>
    <w:rsid w:val="007427AF"/>
    <w:rsid w:val="00746222"/>
    <w:rsid w:val="007552AC"/>
    <w:rsid w:val="00774E66"/>
    <w:rsid w:val="00775C43"/>
    <w:rsid w:val="007773A4"/>
    <w:rsid w:val="00790862"/>
    <w:rsid w:val="007947C5"/>
    <w:rsid w:val="007A2E96"/>
    <w:rsid w:val="007C0571"/>
    <w:rsid w:val="007D6D0B"/>
    <w:rsid w:val="007E6B24"/>
    <w:rsid w:val="007E78AC"/>
    <w:rsid w:val="007F003B"/>
    <w:rsid w:val="007F7BF6"/>
    <w:rsid w:val="00801932"/>
    <w:rsid w:val="00801FFB"/>
    <w:rsid w:val="00802070"/>
    <w:rsid w:val="00802407"/>
    <w:rsid w:val="008105B1"/>
    <w:rsid w:val="00820521"/>
    <w:rsid w:val="00826377"/>
    <w:rsid w:val="008465B9"/>
    <w:rsid w:val="00847C86"/>
    <w:rsid w:val="00861578"/>
    <w:rsid w:val="00861B3E"/>
    <w:rsid w:val="00891046"/>
    <w:rsid w:val="00891A4D"/>
    <w:rsid w:val="008A11F8"/>
    <w:rsid w:val="008A16B3"/>
    <w:rsid w:val="008B0F7A"/>
    <w:rsid w:val="008E10A6"/>
    <w:rsid w:val="008E47C0"/>
    <w:rsid w:val="008E62C7"/>
    <w:rsid w:val="008F5FDC"/>
    <w:rsid w:val="0090334C"/>
    <w:rsid w:val="00911143"/>
    <w:rsid w:val="00915363"/>
    <w:rsid w:val="00916ADF"/>
    <w:rsid w:val="00920CC1"/>
    <w:rsid w:val="00934D90"/>
    <w:rsid w:val="00935587"/>
    <w:rsid w:val="00936A3F"/>
    <w:rsid w:val="0094764D"/>
    <w:rsid w:val="009653E2"/>
    <w:rsid w:val="00965A22"/>
    <w:rsid w:val="00983FA8"/>
    <w:rsid w:val="009A050E"/>
    <w:rsid w:val="009A54BB"/>
    <w:rsid w:val="009A6EAA"/>
    <w:rsid w:val="009B086B"/>
    <w:rsid w:val="009D3063"/>
    <w:rsid w:val="009D76C4"/>
    <w:rsid w:val="009E15E8"/>
    <w:rsid w:val="009E64EE"/>
    <w:rsid w:val="009F08DF"/>
    <w:rsid w:val="009F7BD8"/>
    <w:rsid w:val="00A16019"/>
    <w:rsid w:val="00A2029F"/>
    <w:rsid w:val="00A25CE5"/>
    <w:rsid w:val="00A60178"/>
    <w:rsid w:val="00A6403B"/>
    <w:rsid w:val="00A6511F"/>
    <w:rsid w:val="00A70286"/>
    <w:rsid w:val="00A71C49"/>
    <w:rsid w:val="00A85C61"/>
    <w:rsid w:val="00A85EBC"/>
    <w:rsid w:val="00A975A7"/>
    <w:rsid w:val="00AB79A7"/>
    <w:rsid w:val="00AD3DBF"/>
    <w:rsid w:val="00AD5FEA"/>
    <w:rsid w:val="00AF6419"/>
    <w:rsid w:val="00B0081B"/>
    <w:rsid w:val="00B10381"/>
    <w:rsid w:val="00B14C2A"/>
    <w:rsid w:val="00B15EE6"/>
    <w:rsid w:val="00B16F23"/>
    <w:rsid w:val="00B22F0B"/>
    <w:rsid w:val="00B36EDE"/>
    <w:rsid w:val="00B46018"/>
    <w:rsid w:val="00B50119"/>
    <w:rsid w:val="00B95CCA"/>
    <w:rsid w:val="00BA129E"/>
    <w:rsid w:val="00BA4028"/>
    <w:rsid w:val="00BA46F4"/>
    <w:rsid w:val="00BC713B"/>
    <w:rsid w:val="00BD670F"/>
    <w:rsid w:val="00BF7BBD"/>
    <w:rsid w:val="00C004A4"/>
    <w:rsid w:val="00C03E42"/>
    <w:rsid w:val="00C073FB"/>
    <w:rsid w:val="00C16F1D"/>
    <w:rsid w:val="00C26233"/>
    <w:rsid w:val="00C3449B"/>
    <w:rsid w:val="00C411E5"/>
    <w:rsid w:val="00C5221F"/>
    <w:rsid w:val="00C6077A"/>
    <w:rsid w:val="00C608D6"/>
    <w:rsid w:val="00C62D80"/>
    <w:rsid w:val="00C63424"/>
    <w:rsid w:val="00C65213"/>
    <w:rsid w:val="00C96C23"/>
    <w:rsid w:val="00CB0A91"/>
    <w:rsid w:val="00CB4034"/>
    <w:rsid w:val="00CC2FFB"/>
    <w:rsid w:val="00CC4175"/>
    <w:rsid w:val="00CD14CF"/>
    <w:rsid w:val="00CD465B"/>
    <w:rsid w:val="00CD6766"/>
    <w:rsid w:val="00CF4950"/>
    <w:rsid w:val="00D03EAF"/>
    <w:rsid w:val="00D20BE7"/>
    <w:rsid w:val="00D33599"/>
    <w:rsid w:val="00D37C76"/>
    <w:rsid w:val="00D53438"/>
    <w:rsid w:val="00D61E29"/>
    <w:rsid w:val="00D674EA"/>
    <w:rsid w:val="00D814D8"/>
    <w:rsid w:val="00D833E4"/>
    <w:rsid w:val="00D859DF"/>
    <w:rsid w:val="00D95B7A"/>
    <w:rsid w:val="00D974DB"/>
    <w:rsid w:val="00D9780D"/>
    <w:rsid w:val="00DA3837"/>
    <w:rsid w:val="00DB5C44"/>
    <w:rsid w:val="00DC319A"/>
    <w:rsid w:val="00E167DF"/>
    <w:rsid w:val="00E33D30"/>
    <w:rsid w:val="00E36036"/>
    <w:rsid w:val="00E51D34"/>
    <w:rsid w:val="00E95361"/>
    <w:rsid w:val="00EB58DE"/>
    <w:rsid w:val="00ED1E8F"/>
    <w:rsid w:val="00ED6F1B"/>
    <w:rsid w:val="00EE1C77"/>
    <w:rsid w:val="00EF117C"/>
    <w:rsid w:val="00EF6C9D"/>
    <w:rsid w:val="00F02EEA"/>
    <w:rsid w:val="00F04078"/>
    <w:rsid w:val="00F07CCC"/>
    <w:rsid w:val="00F13035"/>
    <w:rsid w:val="00F15CAA"/>
    <w:rsid w:val="00F16E29"/>
    <w:rsid w:val="00F22295"/>
    <w:rsid w:val="00F4614A"/>
    <w:rsid w:val="00F46B5F"/>
    <w:rsid w:val="00F526B5"/>
    <w:rsid w:val="00F871A4"/>
    <w:rsid w:val="00F97D3C"/>
    <w:rsid w:val="00FA750F"/>
    <w:rsid w:val="00FB7083"/>
    <w:rsid w:val="00FE7B64"/>
    <w:rsid w:val="00FF136C"/>
    <w:rsid w:val="00FF50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F5913"/>
  <w15:docId w15:val="{E6595FE1-E51D-4F86-8879-8A2687DF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D0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16F23"/>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B16F23"/>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B16F23"/>
    <w:pPr>
      <w:keepNext/>
      <w:keepLines/>
      <w:spacing w:before="80"/>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B16F23"/>
    <w:pPr>
      <w:keepNext/>
      <w:keepLines/>
      <w:spacing w:before="80" w:line="288" w:lineRule="auto"/>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B16F23"/>
    <w:pPr>
      <w:keepNext/>
      <w:keepLines/>
      <w:spacing w:before="40" w:line="288" w:lineRule="auto"/>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B16F23"/>
    <w:pPr>
      <w:keepNext/>
      <w:keepLines/>
      <w:spacing w:before="40" w:line="288" w:lineRule="auto"/>
      <w:outlineLvl w:val="5"/>
    </w:pPr>
    <w:rPr>
      <w:rFonts w:asciiTheme="majorHAnsi" w:eastAsiaTheme="majorEastAsia" w:hAnsiTheme="majorHAnsi" w:cstheme="majorBidi"/>
      <w:color w:val="F79646" w:themeColor="accent6"/>
      <w:sz w:val="21"/>
      <w:szCs w:val="21"/>
    </w:rPr>
  </w:style>
  <w:style w:type="paragraph" w:styleId="Heading7">
    <w:name w:val="heading 7"/>
    <w:basedOn w:val="Normal"/>
    <w:next w:val="Normal"/>
    <w:link w:val="Heading7Char"/>
    <w:uiPriority w:val="9"/>
    <w:semiHidden/>
    <w:unhideWhenUsed/>
    <w:qFormat/>
    <w:rsid w:val="00B16F23"/>
    <w:pPr>
      <w:keepNext/>
      <w:keepLines/>
      <w:spacing w:before="40" w:line="288" w:lineRule="auto"/>
      <w:outlineLvl w:val="6"/>
    </w:pPr>
    <w:rPr>
      <w:rFonts w:asciiTheme="majorHAnsi" w:eastAsiaTheme="majorEastAsia" w:hAnsiTheme="majorHAnsi" w:cstheme="majorBidi"/>
      <w:b/>
      <w:bCs/>
      <w:color w:val="F79646" w:themeColor="accent6"/>
      <w:sz w:val="21"/>
      <w:szCs w:val="21"/>
    </w:rPr>
  </w:style>
  <w:style w:type="paragraph" w:styleId="Heading8">
    <w:name w:val="heading 8"/>
    <w:basedOn w:val="Normal"/>
    <w:next w:val="Normal"/>
    <w:link w:val="Heading8Char"/>
    <w:uiPriority w:val="9"/>
    <w:semiHidden/>
    <w:unhideWhenUsed/>
    <w:qFormat/>
    <w:rsid w:val="00B16F23"/>
    <w:pPr>
      <w:keepNext/>
      <w:keepLines/>
      <w:spacing w:before="40" w:line="288" w:lineRule="auto"/>
      <w:outlineLvl w:val="7"/>
    </w:pPr>
    <w:rPr>
      <w:rFonts w:asciiTheme="majorHAnsi" w:eastAsiaTheme="majorEastAsia" w:hAnsiTheme="majorHAnsi" w:cstheme="majorBidi"/>
      <w:b/>
      <w:bCs/>
      <w:i/>
      <w:iCs/>
      <w:color w:val="F79646" w:themeColor="accent6"/>
    </w:rPr>
  </w:style>
  <w:style w:type="paragraph" w:styleId="Heading9">
    <w:name w:val="heading 9"/>
    <w:basedOn w:val="Normal"/>
    <w:next w:val="Normal"/>
    <w:link w:val="Heading9Char"/>
    <w:uiPriority w:val="9"/>
    <w:semiHidden/>
    <w:unhideWhenUsed/>
    <w:qFormat/>
    <w:rsid w:val="00B16F23"/>
    <w:pPr>
      <w:keepNext/>
      <w:keepLines/>
      <w:spacing w:before="40" w:line="288" w:lineRule="auto"/>
      <w:outlineLvl w:val="8"/>
    </w:pPr>
    <w:rPr>
      <w:rFonts w:asciiTheme="majorHAnsi" w:eastAsiaTheme="majorEastAsia" w:hAnsiTheme="majorHAnsi" w:cstheme="majorBidi"/>
      <w:i/>
      <w:iCs/>
      <w:color w:val="F79646"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link w:val="SalutationChar"/>
    <w:rsid w:val="0011360D"/>
    <w:rPr>
      <w:sz w:val="24"/>
      <w:szCs w:val="24"/>
    </w:rPr>
  </w:style>
  <w:style w:type="character" w:customStyle="1" w:styleId="SalutationChar">
    <w:name w:val="Salutation Char"/>
    <w:basedOn w:val="DefaultParagraphFont"/>
    <w:link w:val="Salutation"/>
    <w:rsid w:val="0011360D"/>
    <w:rPr>
      <w:rFonts w:ascii="Times New Roman" w:eastAsia="Times New Roman" w:hAnsi="Times New Roman" w:cs="Times New Roman"/>
      <w:sz w:val="24"/>
      <w:szCs w:val="24"/>
    </w:rPr>
  </w:style>
  <w:style w:type="paragraph" w:styleId="ListParagraph">
    <w:name w:val="List Paragraph"/>
    <w:aliases w:val="1.1.1_List Paragraph,Akapit z listą BS,Bullet1,Bullets,Citation List,Dot p,Ha,List Paragraph (numbered (a)),List Paragraph 1.1.1,List Paragraph1,List_Paragraph,Liste 1,Main numbered paragraph,Multilevel para_II,NUMBERED PARAGRAPH,Normal 2"/>
    <w:basedOn w:val="Normal"/>
    <w:link w:val="ListParagraphChar"/>
    <w:uiPriority w:val="34"/>
    <w:qFormat/>
    <w:rsid w:val="00C5221F"/>
    <w:pPr>
      <w:ind w:left="720"/>
      <w:contextualSpacing/>
    </w:pPr>
  </w:style>
  <w:style w:type="paragraph" w:styleId="BalloonText">
    <w:name w:val="Balloon Text"/>
    <w:basedOn w:val="Normal"/>
    <w:link w:val="BalloonTextChar"/>
    <w:uiPriority w:val="99"/>
    <w:semiHidden/>
    <w:unhideWhenUsed/>
    <w:rsid w:val="008A11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1F8"/>
    <w:rPr>
      <w:rFonts w:ascii="Segoe UI" w:eastAsia="Times New Roman" w:hAnsi="Segoe UI" w:cs="Segoe UI"/>
      <w:sz w:val="18"/>
      <w:szCs w:val="18"/>
    </w:rPr>
  </w:style>
  <w:style w:type="character" w:styleId="CommentReference">
    <w:name w:val="annotation reference"/>
    <w:basedOn w:val="DefaultParagraphFont"/>
    <w:uiPriority w:val="99"/>
    <w:unhideWhenUsed/>
    <w:rsid w:val="00010AC5"/>
    <w:rPr>
      <w:sz w:val="16"/>
      <w:szCs w:val="16"/>
    </w:rPr>
  </w:style>
  <w:style w:type="paragraph" w:styleId="CommentText">
    <w:name w:val="annotation text"/>
    <w:basedOn w:val="Normal"/>
    <w:link w:val="CommentTextChar"/>
    <w:uiPriority w:val="99"/>
    <w:unhideWhenUsed/>
    <w:rsid w:val="00010AC5"/>
  </w:style>
  <w:style w:type="character" w:customStyle="1" w:styleId="CommentTextChar">
    <w:name w:val="Comment Text Char"/>
    <w:basedOn w:val="DefaultParagraphFont"/>
    <w:link w:val="CommentText"/>
    <w:uiPriority w:val="99"/>
    <w:rsid w:val="00010A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0AC5"/>
    <w:rPr>
      <w:b/>
      <w:bCs/>
    </w:rPr>
  </w:style>
  <w:style w:type="character" w:customStyle="1" w:styleId="CommentSubjectChar">
    <w:name w:val="Comment Subject Char"/>
    <w:basedOn w:val="CommentTextChar"/>
    <w:link w:val="CommentSubject"/>
    <w:uiPriority w:val="99"/>
    <w:semiHidden/>
    <w:rsid w:val="00010AC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D7DF7"/>
    <w:pPr>
      <w:tabs>
        <w:tab w:val="center" w:pos="4680"/>
        <w:tab w:val="right" w:pos="9360"/>
      </w:tabs>
    </w:pPr>
  </w:style>
  <w:style w:type="character" w:customStyle="1" w:styleId="HeaderChar">
    <w:name w:val="Header Char"/>
    <w:basedOn w:val="DefaultParagraphFont"/>
    <w:link w:val="Header"/>
    <w:uiPriority w:val="99"/>
    <w:rsid w:val="002D7D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D7DF7"/>
    <w:pPr>
      <w:tabs>
        <w:tab w:val="center" w:pos="4680"/>
        <w:tab w:val="right" w:pos="9360"/>
      </w:tabs>
    </w:pPr>
  </w:style>
  <w:style w:type="character" w:customStyle="1" w:styleId="FooterChar">
    <w:name w:val="Footer Char"/>
    <w:basedOn w:val="DefaultParagraphFont"/>
    <w:link w:val="Footer"/>
    <w:uiPriority w:val="99"/>
    <w:rsid w:val="002D7DF7"/>
    <w:rPr>
      <w:rFonts w:ascii="Times New Roman" w:eastAsia="Times New Roman" w:hAnsi="Times New Roman" w:cs="Times New Roman"/>
      <w:sz w:val="20"/>
      <w:szCs w:val="20"/>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9D76C4"/>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D76C4"/>
    <w:rPr>
      <w:rFonts w:ascii="Times New Roman" w:eastAsia="Times New Roman" w:hAnsi="Times New Roman" w:cs="Times New Roman"/>
      <w:sz w:val="20"/>
      <w:szCs w:val="20"/>
    </w:rPr>
  </w:style>
  <w:style w:type="character" w:styleId="FootnoteReference">
    <w:name w:val="footnote reference"/>
    <w:aliases w:val=" BVI fnr,16 Point,BVI fnr,Char Char Char Char Car Char,Footnote Reference Number,Footnotes refss,Ref,Superscript 6 Point,Used by Word for Help footnote symbols,de nota al pie,footnote ref,fr,ftref,Знак сноски 1,Знак сноски-FN,SUPERS"/>
    <w:basedOn w:val="DefaultParagraphFont"/>
    <w:link w:val="CharChar1CharCharCharChar1CharCharCharCharCharCharCharChar"/>
    <w:uiPriority w:val="99"/>
    <w:qFormat/>
    <w:rsid w:val="009D76C4"/>
    <w:rPr>
      <w:rFonts w:cs="Times New Roman"/>
      <w:vertAlign w:val="superscript"/>
    </w:rPr>
  </w:style>
  <w:style w:type="table" w:customStyle="1" w:styleId="TableGrid11">
    <w:name w:val="Table Grid11"/>
    <w:basedOn w:val="TableNormal"/>
    <w:next w:val="TableGrid"/>
    <w:uiPriority w:val="39"/>
    <w:rsid w:val="009D76C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9D76C4"/>
    <w:pPr>
      <w:spacing w:before="120" w:after="120" w:line="240" w:lineRule="exact"/>
      <w:jc w:val="both"/>
    </w:pPr>
    <w:rPr>
      <w:rFonts w:asciiTheme="minorHAnsi" w:eastAsiaTheme="minorHAnsi" w:hAnsiTheme="minorHAnsi"/>
      <w:sz w:val="22"/>
      <w:szCs w:val="22"/>
      <w:vertAlign w:val="superscript"/>
    </w:rPr>
  </w:style>
  <w:style w:type="table" w:styleId="TableGrid">
    <w:name w:val="Table Grid"/>
    <w:aliases w:val="Smart Text Table,Tabell"/>
    <w:basedOn w:val="TableNormal"/>
    <w:uiPriority w:val="39"/>
    <w:qFormat/>
    <w:rsid w:val="009D7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16F23"/>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B16F23"/>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B16F23"/>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B16F23"/>
    <w:rPr>
      <w:rFonts w:asciiTheme="majorHAnsi" w:eastAsiaTheme="majorEastAsia" w:hAnsiTheme="majorHAnsi" w:cstheme="majorBidi"/>
      <w:color w:val="F79646" w:themeColor="accent6"/>
    </w:rPr>
  </w:style>
  <w:style w:type="character" w:customStyle="1" w:styleId="Heading5Char">
    <w:name w:val="Heading 5 Char"/>
    <w:basedOn w:val="DefaultParagraphFont"/>
    <w:link w:val="Heading5"/>
    <w:uiPriority w:val="9"/>
    <w:semiHidden/>
    <w:rsid w:val="00B16F23"/>
    <w:rPr>
      <w:rFonts w:asciiTheme="majorHAnsi" w:eastAsiaTheme="majorEastAsia" w:hAnsiTheme="majorHAnsi" w:cstheme="majorBidi"/>
      <w:i/>
      <w:iCs/>
      <w:color w:val="F79646" w:themeColor="accent6"/>
    </w:rPr>
  </w:style>
  <w:style w:type="character" w:customStyle="1" w:styleId="Heading6Char">
    <w:name w:val="Heading 6 Char"/>
    <w:basedOn w:val="DefaultParagraphFont"/>
    <w:link w:val="Heading6"/>
    <w:uiPriority w:val="9"/>
    <w:semiHidden/>
    <w:rsid w:val="00B16F23"/>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B16F23"/>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B16F23"/>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B16F23"/>
    <w:rPr>
      <w:rFonts w:asciiTheme="majorHAnsi" w:eastAsiaTheme="majorEastAsia" w:hAnsiTheme="majorHAnsi" w:cstheme="majorBidi"/>
      <w:i/>
      <w:iCs/>
      <w:color w:val="F79646" w:themeColor="accent6"/>
      <w:sz w:val="20"/>
      <w:szCs w:val="20"/>
    </w:rPr>
  </w:style>
  <w:style w:type="table" w:customStyle="1" w:styleId="TableGrid1">
    <w:name w:val="Table Grid1"/>
    <w:basedOn w:val="TableNormal"/>
    <w:next w:val="TableGrid"/>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16F23"/>
    <w:rPr>
      <w:color w:val="0000FF" w:themeColor="hyperlink"/>
      <w:u w:val="single"/>
    </w:rPr>
  </w:style>
  <w:style w:type="table" w:customStyle="1" w:styleId="TableGrid92">
    <w:name w:val="Table Grid92"/>
    <w:basedOn w:val="TableNormal"/>
    <w:uiPriority w:val="5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6F23"/>
    <w:pPr>
      <w:spacing w:before="100" w:beforeAutospacing="1" w:after="100" w:afterAutospacing="1"/>
    </w:pPr>
    <w:rPr>
      <w:rFonts w:eastAsiaTheme="minorEastAsia"/>
      <w:sz w:val="24"/>
      <w:szCs w:val="24"/>
    </w:rPr>
  </w:style>
  <w:style w:type="character" w:styleId="PlaceholderText">
    <w:name w:val="Placeholder Text"/>
    <w:basedOn w:val="DefaultParagraphFont"/>
    <w:uiPriority w:val="99"/>
    <w:semiHidden/>
    <w:rsid w:val="00B16F23"/>
    <w:rPr>
      <w:color w:val="808080"/>
    </w:rPr>
  </w:style>
  <w:style w:type="table" w:customStyle="1" w:styleId="TableGrid4">
    <w:name w:val="Table Grid4"/>
    <w:basedOn w:val="TableNormal"/>
    <w:next w:val="TableGrid"/>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5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B16F23"/>
    <w:pPr>
      <w:spacing w:after="200"/>
    </w:pPr>
    <w:rPr>
      <w:rFonts w:asciiTheme="minorHAnsi" w:eastAsiaTheme="minorEastAsia" w:hAnsiTheme="minorHAnsi" w:cstheme="minorBidi"/>
      <w:b/>
      <w:bCs/>
      <w:smallCaps/>
      <w:color w:val="595959" w:themeColor="text1" w:themeTint="A6"/>
      <w:sz w:val="21"/>
      <w:szCs w:val="21"/>
    </w:rPr>
  </w:style>
  <w:style w:type="paragraph" w:styleId="Title">
    <w:name w:val="Title"/>
    <w:basedOn w:val="Normal"/>
    <w:next w:val="Normal"/>
    <w:link w:val="TitleChar"/>
    <w:uiPriority w:val="10"/>
    <w:qFormat/>
    <w:rsid w:val="00B16F23"/>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16F2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16F23"/>
    <w:pPr>
      <w:numPr>
        <w:ilvl w:val="1"/>
      </w:numPr>
      <w:spacing w:after="200"/>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16F23"/>
    <w:rPr>
      <w:rFonts w:asciiTheme="majorHAnsi" w:eastAsiaTheme="majorEastAsia" w:hAnsiTheme="majorHAnsi" w:cstheme="majorBidi"/>
      <w:sz w:val="30"/>
      <w:szCs w:val="30"/>
    </w:rPr>
  </w:style>
  <w:style w:type="character" w:styleId="Strong">
    <w:name w:val="Strong"/>
    <w:basedOn w:val="DefaultParagraphFont"/>
    <w:uiPriority w:val="22"/>
    <w:qFormat/>
    <w:rsid w:val="00B16F23"/>
    <w:rPr>
      <w:b/>
      <w:bCs/>
    </w:rPr>
  </w:style>
  <w:style w:type="character" w:styleId="Emphasis">
    <w:name w:val="Emphasis"/>
    <w:basedOn w:val="DefaultParagraphFont"/>
    <w:uiPriority w:val="20"/>
    <w:qFormat/>
    <w:rsid w:val="00B16F23"/>
    <w:rPr>
      <w:i/>
      <w:iCs/>
      <w:color w:val="F79646" w:themeColor="accent6"/>
    </w:rPr>
  </w:style>
  <w:style w:type="paragraph" w:styleId="NoSpacing">
    <w:name w:val="No Spacing"/>
    <w:link w:val="NoSpacingChar"/>
    <w:uiPriority w:val="1"/>
    <w:qFormat/>
    <w:rsid w:val="00B16F23"/>
    <w:pPr>
      <w:spacing w:after="0" w:line="240" w:lineRule="auto"/>
    </w:pPr>
    <w:rPr>
      <w:rFonts w:eastAsiaTheme="minorEastAsia"/>
      <w:sz w:val="21"/>
      <w:szCs w:val="21"/>
    </w:rPr>
  </w:style>
  <w:style w:type="paragraph" w:styleId="Quote">
    <w:name w:val="Quote"/>
    <w:basedOn w:val="Normal"/>
    <w:next w:val="Normal"/>
    <w:link w:val="QuoteChar"/>
    <w:uiPriority w:val="29"/>
    <w:qFormat/>
    <w:rsid w:val="00B16F23"/>
    <w:pPr>
      <w:spacing w:before="160" w:after="200" w:line="288" w:lineRule="auto"/>
      <w:ind w:left="720" w:right="720"/>
      <w:jc w:val="center"/>
    </w:pPr>
    <w:rPr>
      <w:rFonts w:asciiTheme="minorHAnsi" w:eastAsiaTheme="minorEastAsia" w:hAnsiTheme="minorHAnsi" w:cstheme="minorBidi"/>
      <w:i/>
      <w:iCs/>
      <w:color w:val="262626" w:themeColor="text1" w:themeTint="D9"/>
      <w:sz w:val="21"/>
      <w:szCs w:val="21"/>
    </w:rPr>
  </w:style>
  <w:style w:type="character" w:customStyle="1" w:styleId="QuoteChar">
    <w:name w:val="Quote Char"/>
    <w:basedOn w:val="DefaultParagraphFont"/>
    <w:link w:val="Quote"/>
    <w:uiPriority w:val="29"/>
    <w:rsid w:val="00B16F23"/>
    <w:rPr>
      <w:rFonts w:eastAsiaTheme="minorEastAsia"/>
      <w:i/>
      <w:iCs/>
      <w:color w:val="262626" w:themeColor="text1" w:themeTint="D9"/>
      <w:sz w:val="21"/>
      <w:szCs w:val="21"/>
    </w:rPr>
  </w:style>
  <w:style w:type="paragraph" w:styleId="IntenseQuote">
    <w:name w:val="Intense Quote"/>
    <w:basedOn w:val="Normal"/>
    <w:next w:val="Normal"/>
    <w:link w:val="IntenseQuoteChar"/>
    <w:uiPriority w:val="30"/>
    <w:qFormat/>
    <w:rsid w:val="00B16F23"/>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B16F23"/>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B16F23"/>
    <w:rPr>
      <w:i/>
      <w:iCs/>
    </w:rPr>
  </w:style>
  <w:style w:type="character" w:styleId="IntenseEmphasis">
    <w:name w:val="Intense Emphasis"/>
    <w:basedOn w:val="DefaultParagraphFont"/>
    <w:uiPriority w:val="21"/>
    <w:qFormat/>
    <w:rsid w:val="00B16F23"/>
    <w:rPr>
      <w:b/>
      <w:bCs/>
      <w:i/>
      <w:iCs/>
    </w:rPr>
  </w:style>
  <w:style w:type="character" w:styleId="SubtleReference">
    <w:name w:val="Subtle Reference"/>
    <w:basedOn w:val="DefaultParagraphFont"/>
    <w:uiPriority w:val="31"/>
    <w:qFormat/>
    <w:rsid w:val="00B16F23"/>
    <w:rPr>
      <w:smallCaps/>
      <w:color w:val="595959" w:themeColor="text1" w:themeTint="A6"/>
    </w:rPr>
  </w:style>
  <w:style w:type="character" w:styleId="IntenseReference">
    <w:name w:val="Intense Reference"/>
    <w:basedOn w:val="DefaultParagraphFont"/>
    <w:uiPriority w:val="32"/>
    <w:qFormat/>
    <w:rsid w:val="00B16F23"/>
    <w:rPr>
      <w:b/>
      <w:bCs/>
      <w:smallCaps/>
      <w:color w:val="F79646" w:themeColor="accent6"/>
    </w:rPr>
  </w:style>
  <w:style w:type="character" w:styleId="BookTitle">
    <w:name w:val="Book Title"/>
    <w:basedOn w:val="DefaultParagraphFont"/>
    <w:uiPriority w:val="33"/>
    <w:qFormat/>
    <w:rsid w:val="00B16F23"/>
    <w:rPr>
      <w:b/>
      <w:bCs/>
      <w:caps w:val="0"/>
      <w:smallCaps/>
      <w:spacing w:val="7"/>
      <w:sz w:val="21"/>
      <w:szCs w:val="21"/>
    </w:rPr>
  </w:style>
  <w:style w:type="paragraph" w:styleId="TOCHeading">
    <w:name w:val="TOC Heading"/>
    <w:basedOn w:val="Heading1"/>
    <w:next w:val="Normal"/>
    <w:uiPriority w:val="39"/>
    <w:semiHidden/>
    <w:unhideWhenUsed/>
    <w:qFormat/>
    <w:rsid w:val="00B16F23"/>
    <w:pPr>
      <w:outlineLvl w:val="9"/>
    </w:pPr>
  </w:style>
  <w:style w:type="table" w:customStyle="1" w:styleId="TableGrid19">
    <w:name w:val="Table Grid19"/>
    <w:basedOn w:val="TableNormal"/>
    <w:next w:val="TableGrid"/>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B16F23"/>
    <w:pPr>
      <w:spacing w:after="160" w:line="259" w:lineRule="auto"/>
    </w:pPr>
  </w:style>
  <w:style w:type="paragraph" w:customStyle="1" w:styleId="Normal1">
    <w:name w:val="Normal_1"/>
    <w:qFormat/>
    <w:rsid w:val="00B16F23"/>
    <w:pPr>
      <w:spacing w:after="160" w:line="259" w:lineRule="auto"/>
    </w:pPr>
  </w:style>
  <w:style w:type="paragraph" w:customStyle="1" w:styleId="Normal2">
    <w:name w:val="Normal_2"/>
    <w:qFormat/>
    <w:rsid w:val="00B16F23"/>
    <w:pPr>
      <w:spacing w:after="160" w:line="259" w:lineRule="auto"/>
    </w:pPr>
  </w:style>
  <w:style w:type="paragraph" w:customStyle="1" w:styleId="Normal3">
    <w:name w:val="Normal_3"/>
    <w:qFormat/>
    <w:rsid w:val="00B16F23"/>
    <w:pPr>
      <w:spacing w:after="160" w:line="259" w:lineRule="auto"/>
    </w:pPr>
  </w:style>
  <w:style w:type="paragraph" w:customStyle="1" w:styleId="Normal4">
    <w:name w:val="Normal_4"/>
    <w:qFormat/>
    <w:rsid w:val="00B16F23"/>
    <w:pPr>
      <w:spacing w:after="160" w:line="259" w:lineRule="auto"/>
    </w:pPr>
  </w:style>
  <w:style w:type="paragraph" w:customStyle="1" w:styleId="Normal5">
    <w:name w:val="Normal_5"/>
    <w:qFormat/>
    <w:rsid w:val="00B16F23"/>
    <w:pPr>
      <w:spacing w:after="160" w:line="259" w:lineRule="auto"/>
    </w:pPr>
  </w:style>
  <w:style w:type="paragraph" w:customStyle="1" w:styleId="Normal6">
    <w:name w:val="Normal_6"/>
    <w:qFormat/>
    <w:rsid w:val="00B16F23"/>
    <w:pPr>
      <w:spacing w:after="160" w:line="259" w:lineRule="auto"/>
    </w:pPr>
  </w:style>
  <w:style w:type="paragraph" w:customStyle="1" w:styleId="Normal7">
    <w:name w:val="Normal_7"/>
    <w:qFormat/>
    <w:rsid w:val="00B16F23"/>
    <w:pPr>
      <w:spacing w:after="160" w:line="259" w:lineRule="auto"/>
    </w:pPr>
  </w:style>
  <w:style w:type="character" w:customStyle="1" w:styleId="NoSpacingChar">
    <w:name w:val="No Spacing Char"/>
    <w:link w:val="NoSpacing"/>
    <w:uiPriority w:val="1"/>
    <w:locked/>
    <w:rsid w:val="00B16F23"/>
    <w:rPr>
      <w:rFonts w:eastAsiaTheme="minorEastAsia"/>
      <w:sz w:val="21"/>
      <w:szCs w:val="21"/>
    </w:rPr>
  </w:style>
  <w:style w:type="table" w:customStyle="1" w:styleId="TableGrid20">
    <w:name w:val="Table Grid20"/>
    <w:basedOn w:val="TableNormal"/>
    <w:next w:val="TableGrid"/>
    <w:uiPriority w:val="39"/>
    <w:rsid w:val="00B16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16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B16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16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16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32">
    <w:name w:val="Normal_232"/>
    <w:uiPriority w:val="99"/>
    <w:qFormat/>
    <w:rsid w:val="00B16F23"/>
    <w:pPr>
      <w:widowControl w:val="0"/>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211">
    <w:name w:val="Table Grid211"/>
    <w:basedOn w:val="TableNormal"/>
    <w:next w:val="TableGrid"/>
    <w:uiPriority w:val="39"/>
    <w:rsid w:val="00B16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B16F23"/>
  </w:style>
  <w:style w:type="paragraph" w:customStyle="1" w:styleId="paragraph">
    <w:name w:val="paragraph"/>
    <w:basedOn w:val="Normal"/>
    <w:rsid w:val="00B16F23"/>
    <w:pPr>
      <w:spacing w:before="100" w:beforeAutospacing="1" w:after="100" w:afterAutospacing="1"/>
    </w:pPr>
    <w:rPr>
      <w:sz w:val="24"/>
      <w:szCs w:val="24"/>
    </w:rPr>
  </w:style>
  <w:style w:type="character" w:customStyle="1" w:styleId="ListParagraphChar">
    <w:name w:val="List Paragraph Char"/>
    <w:aliases w:val="1.1.1_List Paragraph Char,Akapit z listą BS Char,Bullet1 Char,Bullets Char,Citation List Char,Dot p Char,Ha Char,List Paragraph (numbered (a)) Char,List Paragraph 1.1.1 Char,List Paragraph1 Char,List_Paragraph Char,Liste 1 Char"/>
    <w:basedOn w:val="DefaultParagraphFont"/>
    <w:link w:val="ListParagraph"/>
    <w:uiPriority w:val="34"/>
    <w:qFormat/>
    <w:locked/>
    <w:rsid w:val="00B16F23"/>
    <w:rPr>
      <w:rFonts w:ascii="Times New Roman" w:eastAsia="Times New Roman" w:hAnsi="Times New Roman" w:cs="Times New Roman"/>
      <w:sz w:val="20"/>
      <w:szCs w:val="20"/>
    </w:rPr>
  </w:style>
  <w:style w:type="table" w:customStyle="1" w:styleId="TableGrid110">
    <w:name w:val="Table Grid_11"/>
    <w:basedOn w:val="TableNormal"/>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B16F23"/>
    <w:pPr>
      <w:spacing w:after="0" w:line="240" w:lineRule="auto"/>
    </w:pPr>
    <w:rPr>
      <w:rFonts w:ascii="Palatino Linotype" w:eastAsia="Calibri" w:hAnsi="Palatino Linotype" w:cs="Times New Roman"/>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e1">
    <w:name w:val="Style1"/>
    <w:basedOn w:val="Heading3"/>
    <w:qFormat/>
    <w:rsid w:val="00B16F23"/>
    <w:pPr>
      <w:spacing w:before="40" w:after="120"/>
      <w:ind w:left="1446" w:hanging="454"/>
    </w:pPr>
    <w:rPr>
      <w:rFonts w:ascii="Arial Narrow" w:eastAsia="MS PGothic" w:hAnsi="Arial Narrow" w:cs="Times New Roman"/>
      <w:bCs/>
      <w:color w:val="365F91" w:themeColor="accent1" w:themeShade="BF"/>
      <w:lang w:val="en-GB"/>
    </w:rPr>
  </w:style>
  <w:style w:type="paragraph" w:customStyle="1" w:styleId="Style2">
    <w:name w:val="Style2"/>
    <w:basedOn w:val="Style1"/>
    <w:qFormat/>
    <w:rsid w:val="00B16F23"/>
    <w:pPr>
      <w:ind w:left="0" w:firstLine="0"/>
    </w:pPr>
  </w:style>
  <w:style w:type="paragraph" w:styleId="Revision">
    <w:name w:val="Revision"/>
    <w:hidden/>
    <w:uiPriority w:val="99"/>
    <w:semiHidden/>
    <w:rsid w:val="00B16F23"/>
    <w:pPr>
      <w:spacing w:after="0"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qFormat/>
    <w:rsid w:val="00B16F23"/>
    <w:pPr>
      <w:spacing w:after="120"/>
    </w:pPr>
    <w:rPr>
      <w:sz w:val="24"/>
      <w:szCs w:val="24"/>
      <w:lang w:val="nb-NO"/>
    </w:rPr>
  </w:style>
  <w:style w:type="character" w:customStyle="1" w:styleId="BodyTextChar">
    <w:name w:val="Body Text Char"/>
    <w:basedOn w:val="DefaultParagraphFont"/>
    <w:link w:val="BodyText"/>
    <w:uiPriority w:val="99"/>
    <w:rsid w:val="00B16F23"/>
    <w:rPr>
      <w:rFonts w:ascii="Times New Roman" w:eastAsia="Times New Roman" w:hAnsi="Times New Roman" w:cs="Times New Roman"/>
      <w:sz w:val="24"/>
      <w:szCs w:val="24"/>
      <w:lang w:val="nb-NO"/>
    </w:rPr>
  </w:style>
  <w:style w:type="table" w:customStyle="1" w:styleId="TableGrid0">
    <w:name w:val="Table Grid_0"/>
    <w:basedOn w:val="TableNormal"/>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_0"/>
    <w:basedOn w:val="TableNormal"/>
    <w:uiPriority w:val="5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_0"/>
    <w:basedOn w:val="TableNormal"/>
    <w:next w:val="TableGrid0"/>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_0"/>
    <w:basedOn w:val="TableNormal"/>
    <w:next w:val="TableGrid0"/>
    <w:uiPriority w:val="39"/>
    <w:rsid w:val="00B16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_0"/>
    <w:basedOn w:val="TableNormal"/>
    <w:next w:val="TableGrid0"/>
    <w:uiPriority w:val="39"/>
    <w:rsid w:val="00B16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_0"/>
    <w:basedOn w:val="TableNormal"/>
    <w:next w:val="TableGrid0"/>
    <w:uiPriority w:val="39"/>
    <w:rsid w:val="00B16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 Grid_1"/>
    <w:basedOn w:val="TableNormal"/>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_1"/>
    <w:basedOn w:val="TableNormal"/>
    <w:uiPriority w:val="5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_1"/>
    <w:basedOn w:val="TableNormal"/>
    <w:next w:val="TableGrid1a"/>
    <w:uiPriority w:val="39"/>
    <w:rsid w:val="00B16F23"/>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_1"/>
    <w:basedOn w:val="TableNormal"/>
    <w:next w:val="TableGrid1a"/>
    <w:uiPriority w:val="39"/>
    <w:rsid w:val="00B16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_1"/>
    <w:basedOn w:val="TableNormal"/>
    <w:next w:val="TableGrid1a"/>
    <w:uiPriority w:val="39"/>
    <w:rsid w:val="00B16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_1"/>
    <w:basedOn w:val="TableNormal"/>
    <w:next w:val="TableGrid1a"/>
    <w:uiPriority w:val="39"/>
    <w:rsid w:val="00B16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3198D-5587-4D71-A014-29AE33DB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11568</Words>
  <Characters>65940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77354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dc:creator>
  <cp:lastModifiedBy>hp</cp:lastModifiedBy>
  <cp:revision>2</cp:revision>
  <cp:lastPrinted>2020-04-06T12:08:00Z</cp:lastPrinted>
  <dcterms:created xsi:type="dcterms:W3CDTF">2022-04-28T11:50:00Z</dcterms:created>
  <dcterms:modified xsi:type="dcterms:W3CDTF">2022-04-28T11:50:00Z</dcterms:modified>
</cp:coreProperties>
</file>